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D" w:rsidRPr="00313AF1" w:rsidRDefault="0002355D" w:rsidP="0002355D">
      <w:pPr>
        <w:spacing w:after="0"/>
        <w:jc w:val="center"/>
        <w:rPr>
          <w:rFonts w:cs="Tahoma"/>
          <w:b/>
          <w:color w:val="174A7C"/>
          <w:sz w:val="32"/>
          <w:szCs w:val="32"/>
        </w:rPr>
      </w:pPr>
      <w:r w:rsidRPr="00313AF1">
        <w:rPr>
          <w:rFonts w:cs="Tahoma"/>
          <w:b/>
          <w:color w:val="174A7C"/>
          <w:sz w:val="32"/>
          <w:szCs w:val="32"/>
        </w:rPr>
        <w:t xml:space="preserve">Disability Opportunity Fund’s Use of </w:t>
      </w:r>
      <w:proofErr w:type="spellStart"/>
      <w:r w:rsidRPr="00313AF1">
        <w:rPr>
          <w:rFonts w:cs="Tahoma"/>
          <w:b/>
          <w:color w:val="174A7C"/>
          <w:sz w:val="32"/>
          <w:szCs w:val="32"/>
        </w:rPr>
        <w:t>CapNexus</w:t>
      </w:r>
      <w:proofErr w:type="spellEnd"/>
      <w:r w:rsidRPr="00313AF1">
        <w:rPr>
          <w:rFonts w:cs="Tahoma"/>
          <w:b/>
          <w:color w:val="174A7C"/>
          <w:sz w:val="32"/>
          <w:szCs w:val="32"/>
        </w:rPr>
        <w:t>™</w:t>
      </w:r>
    </w:p>
    <w:p w:rsidR="0002355D" w:rsidRPr="00A87228" w:rsidRDefault="00BA3B62" w:rsidP="0002355D">
      <w:pPr>
        <w:spacing w:after="0"/>
        <w:jc w:val="center"/>
        <w:rPr>
          <w:rFonts w:cs="Tahoma"/>
          <w:color w:val="F6A01A"/>
          <w:sz w:val="20"/>
          <w:szCs w:val="20"/>
        </w:rPr>
      </w:pPr>
      <w:hyperlink r:id="rId7" w:history="1">
        <w:r w:rsidR="0002355D" w:rsidRPr="00A87228">
          <w:rPr>
            <w:rStyle w:val="Hyperlink"/>
            <w:rFonts w:cs="Tahoma"/>
            <w:color w:val="F6A01A"/>
            <w:sz w:val="20"/>
            <w:szCs w:val="20"/>
          </w:rPr>
          <w:t>www.thedof.org</w:t>
        </w:r>
      </w:hyperlink>
      <w:r w:rsidR="0002355D" w:rsidRPr="00A87228">
        <w:rPr>
          <w:rFonts w:cs="Tahoma"/>
          <w:color w:val="F6A01A"/>
          <w:sz w:val="20"/>
          <w:szCs w:val="20"/>
        </w:rPr>
        <w:t xml:space="preserve"> | </w:t>
      </w:r>
      <w:hyperlink r:id="rId8" w:history="1">
        <w:r w:rsidR="0002355D" w:rsidRPr="00A87228">
          <w:rPr>
            <w:rStyle w:val="Hyperlink"/>
            <w:rFonts w:cs="Tahoma"/>
            <w:color w:val="F6A01A"/>
            <w:sz w:val="20"/>
            <w:szCs w:val="20"/>
          </w:rPr>
          <w:t>www.capnexus.org</w:t>
        </w:r>
      </w:hyperlink>
      <w:r w:rsidR="0002355D" w:rsidRPr="00A87228">
        <w:rPr>
          <w:rFonts w:cs="Tahoma"/>
          <w:color w:val="F6A01A"/>
          <w:sz w:val="20"/>
          <w:szCs w:val="20"/>
        </w:rPr>
        <w:t xml:space="preserve"> </w:t>
      </w:r>
    </w:p>
    <w:p w:rsidR="0002355D" w:rsidRPr="00A87228" w:rsidRDefault="00BA3B62" w:rsidP="00C92095">
      <w:pPr>
        <w:spacing w:before="120" w:after="0"/>
        <w:rPr>
          <w:rFonts w:cs="Tahoma"/>
          <w:i/>
          <w:sz w:val="20"/>
          <w:szCs w:val="20"/>
        </w:rPr>
      </w:pPr>
      <w:r>
        <w:rPr>
          <w:rFonts w:cs="Tahoma"/>
          <w:i/>
          <w:noProof/>
          <w:sz w:val="20"/>
          <w:szCs w:val="20"/>
        </w:rPr>
        <w:pict>
          <v:rect id="Rectangle 2" o:spid="_x0000_s1026" style="position:absolute;margin-left:-7.85pt;margin-top:17.4pt;width:474.3pt;height:1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" filled="f" strokecolor="#f6a01a" strokeweight="1.5pt"/>
        </w:pict>
      </w:r>
    </w:p>
    <w:p w:rsidR="0002355D" w:rsidRPr="00A87228" w:rsidRDefault="0002355D" w:rsidP="00C92095">
      <w:pPr>
        <w:spacing w:before="120" w:after="0"/>
        <w:jc w:val="center"/>
        <w:rPr>
          <w:rFonts w:cs="Tahoma"/>
          <w:b/>
          <w:color w:val="174A7C"/>
          <w:szCs w:val="32"/>
        </w:rPr>
      </w:pPr>
      <w:proofErr w:type="spellStart"/>
      <w:r w:rsidRPr="00A87228">
        <w:rPr>
          <w:rFonts w:cs="Tahoma"/>
          <w:b/>
          <w:color w:val="174A7C"/>
          <w:szCs w:val="32"/>
        </w:rPr>
        <w:t>CapNexus</w:t>
      </w:r>
      <w:proofErr w:type="spellEnd"/>
      <w:r w:rsidRPr="00A87228">
        <w:rPr>
          <w:rFonts w:cs="Tahoma"/>
          <w:b/>
          <w:color w:val="174A7C"/>
          <w:szCs w:val="32"/>
        </w:rPr>
        <w:t>™</w:t>
      </w:r>
    </w:p>
    <w:p w:rsidR="00C92095" w:rsidRPr="00C92095" w:rsidRDefault="00C92095" w:rsidP="0002355D">
      <w:pPr>
        <w:spacing w:before="0" w:after="0"/>
        <w:jc w:val="center"/>
        <w:rPr>
          <w:rFonts w:cs="Tahoma"/>
          <w:b/>
          <w:color w:val="174A7C"/>
          <w:sz w:val="22"/>
          <w:szCs w:val="32"/>
        </w:rPr>
      </w:pPr>
    </w:p>
    <w:p w:rsidR="0002355D" w:rsidRPr="00A87228" w:rsidRDefault="0002355D" w:rsidP="00C92095">
      <w:pPr>
        <w:spacing w:before="0" w:after="0"/>
        <w:rPr>
          <w:rFonts w:cs="Tahoma"/>
          <w:sz w:val="20"/>
        </w:rPr>
      </w:pPr>
      <w:proofErr w:type="spellStart"/>
      <w:r w:rsidRPr="00A87228">
        <w:rPr>
          <w:rFonts w:cs="Tahoma"/>
          <w:sz w:val="20"/>
        </w:rPr>
        <w:t>CapNexus</w:t>
      </w:r>
      <w:proofErr w:type="spellEnd"/>
      <w:r w:rsidRPr="00A87228">
        <w:rPr>
          <w:rFonts w:cs="Tahoma"/>
          <w:sz w:val="20"/>
        </w:rPr>
        <w:t xml:space="preserve">™ is a searchable online database that matches money and partners to community development finance opportunities. </w:t>
      </w:r>
      <w:proofErr w:type="spellStart"/>
      <w:r w:rsidRPr="00A87228">
        <w:rPr>
          <w:rFonts w:cs="Tahoma"/>
          <w:sz w:val="20"/>
        </w:rPr>
        <w:t>CapNexus’s</w:t>
      </w:r>
      <w:proofErr w:type="spellEnd"/>
      <w:r w:rsidRPr="00A87228">
        <w:rPr>
          <w:rFonts w:cs="Tahoma"/>
          <w:sz w:val="20"/>
        </w:rPr>
        <w:t xml:space="preserve"> listing and matching service allows loan originators, interested buyers, and financing partners to efficiently meet. Partners for the Common Good (PCG), a CDFI based in Washington, DC, </w:t>
      </w:r>
      <w:r w:rsidR="004902B4">
        <w:rPr>
          <w:rFonts w:cs="Tahoma"/>
          <w:sz w:val="20"/>
        </w:rPr>
        <w:t xml:space="preserve">is a national loan participation network that </w:t>
      </w:r>
      <w:r w:rsidRPr="00A87228">
        <w:rPr>
          <w:rFonts w:cs="Tahoma"/>
          <w:sz w:val="20"/>
        </w:rPr>
        <w:t xml:space="preserve">launched </w:t>
      </w:r>
      <w:proofErr w:type="spellStart"/>
      <w:r w:rsidRPr="00A87228">
        <w:rPr>
          <w:rFonts w:cs="Tahoma"/>
          <w:sz w:val="20"/>
        </w:rPr>
        <w:t>CapNexus</w:t>
      </w:r>
      <w:proofErr w:type="spellEnd"/>
      <w:r w:rsidRPr="00A87228">
        <w:rPr>
          <w:rFonts w:cs="Tahoma"/>
          <w:sz w:val="20"/>
        </w:rPr>
        <w:t>.</w:t>
      </w:r>
    </w:p>
    <w:p w:rsidR="0002355D" w:rsidRPr="00A87228" w:rsidRDefault="0002355D" w:rsidP="0002355D">
      <w:pPr>
        <w:spacing w:before="120" w:after="0"/>
        <w:rPr>
          <w:rFonts w:cs="Tahoma"/>
          <w:sz w:val="20"/>
        </w:rPr>
      </w:pPr>
      <w:r w:rsidRPr="00A87228">
        <w:rPr>
          <w:rFonts w:cs="Tahoma"/>
          <w:sz w:val="20"/>
        </w:rPr>
        <w:t xml:space="preserve">The </w:t>
      </w:r>
      <w:proofErr w:type="spellStart"/>
      <w:r w:rsidRPr="00A87228">
        <w:rPr>
          <w:rFonts w:cs="Tahoma"/>
          <w:sz w:val="20"/>
        </w:rPr>
        <w:t>CapNexus</w:t>
      </w:r>
      <w:proofErr w:type="spellEnd"/>
      <w:r w:rsidRPr="00A87228">
        <w:rPr>
          <w:rFonts w:cs="Tahoma"/>
          <w:sz w:val="20"/>
        </w:rPr>
        <w:t xml:space="preserve"> Loan Profile requires registered originators to post detailed information on quality deals they have available</w:t>
      </w:r>
      <w:r w:rsidR="00C92095" w:rsidRPr="00A87228">
        <w:rPr>
          <w:rFonts w:cs="Tahoma"/>
          <w:sz w:val="20"/>
        </w:rPr>
        <w:t xml:space="preserve">. </w:t>
      </w:r>
      <w:r w:rsidRPr="00A87228">
        <w:rPr>
          <w:rFonts w:cs="Tahoma"/>
          <w:sz w:val="20"/>
        </w:rPr>
        <w:t xml:space="preserve">Registered buyers can browse loan profiles or search by pricing, geography, asset type, and other factors to find loans that match their portfolio needs. There is a secure document library for each loan profile that allows originators to share due diligence and other transaction documents with restricted users. </w:t>
      </w:r>
      <w:proofErr w:type="spellStart"/>
      <w:r w:rsidRPr="00A87228">
        <w:rPr>
          <w:rFonts w:cs="Tahoma"/>
          <w:sz w:val="20"/>
        </w:rPr>
        <w:t>CapNexus</w:t>
      </w:r>
      <w:proofErr w:type="spellEnd"/>
      <w:r w:rsidRPr="00A87228">
        <w:rPr>
          <w:rFonts w:cs="Tahoma"/>
          <w:sz w:val="20"/>
        </w:rPr>
        <w:t xml:space="preserve"> is a matching platform that support</w:t>
      </w:r>
      <w:r w:rsidR="004902B4">
        <w:rPr>
          <w:rFonts w:cs="Tahoma"/>
          <w:sz w:val="20"/>
        </w:rPr>
        <w:t>s and promotes</w:t>
      </w:r>
      <w:r w:rsidRPr="00A87228">
        <w:rPr>
          <w:rFonts w:cs="Tahoma"/>
          <w:sz w:val="20"/>
        </w:rPr>
        <w:t xml:space="preserve"> partnerships among CDFIs</w:t>
      </w:r>
      <w:bookmarkStart w:id="0" w:name="_GoBack"/>
      <w:bookmarkEnd w:id="0"/>
      <w:r w:rsidRPr="00A87228">
        <w:rPr>
          <w:rFonts w:cs="Tahoma"/>
          <w:sz w:val="20"/>
        </w:rPr>
        <w:t>.</w:t>
      </w:r>
    </w:p>
    <w:p w:rsidR="0002355D" w:rsidRPr="000949B4" w:rsidRDefault="0002355D" w:rsidP="00C92095">
      <w:pPr>
        <w:spacing w:before="120" w:after="0"/>
        <w:jc w:val="center"/>
        <w:rPr>
          <w:rFonts w:cs="Tahoma"/>
          <w:b/>
          <w:color w:val="17365D"/>
          <w:sz w:val="22"/>
          <w:szCs w:val="32"/>
        </w:rPr>
      </w:pPr>
    </w:p>
    <w:p w:rsidR="0002355D" w:rsidRPr="00A87228" w:rsidRDefault="0002355D" w:rsidP="00C92095">
      <w:pPr>
        <w:spacing w:before="0" w:after="0"/>
        <w:jc w:val="center"/>
        <w:rPr>
          <w:rFonts w:cs="Tahoma"/>
          <w:b/>
          <w:color w:val="174A7C"/>
          <w:szCs w:val="32"/>
        </w:rPr>
      </w:pPr>
      <w:r w:rsidRPr="00A87228">
        <w:rPr>
          <w:rFonts w:cs="Tahoma"/>
          <w:b/>
          <w:color w:val="174A7C"/>
          <w:szCs w:val="32"/>
        </w:rPr>
        <w:t xml:space="preserve">Disability Opportunity Fund </w:t>
      </w:r>
    </w:p>
    <w:p w:rsidR="0002355D" w:rsidRDefault="0002355D" w:rsidP="0002355D">
      <w:pPr>
        <w:spacing w:before="0" w:after="0"/>
        <w:jc w:val="center"/>
        <w:rPr>
          <w:rFonts w:cs="Tahoma"/>
          <w:i/>
          <w:sz w:val="22"/>
        </w:rPr>
      </w:pPr>
    </w:p>
    <w:p w:rsidR="0002355D" w:rsidRPr="00A87228" w:rsidRDefault="0002355D" w:rsidP="00C92095">
      <w:pPr>
        <w:spacing w:after="0"/>
        <w:rPr>
          <w:rFonts w:cs="Tahoma"/>
          <w:i/>
          <w:sz w:val="20"/>
        </w:rPr>
      </w:pPr>
      <w:r w:rsidRPr="00A87228">
        <w:rPr>
          <w:rFonts w:cs="Tahoma"/>
          <w:i/>
          <w:sz w:val="20"/>
        </w:rPr>
        <w:t>The Disability Opportunity Fund (DOF) is a community development financial institution (CDFI), launched in April 2007, located in Albertson, New York, and operating nationally. The DOF is a nonprofit organization dedicated to providing housing opportunities for</w:t>
      </w:r>
      <w:r w:rsidR="00B70681">
        <w:rPr>
          <w:rFonts w:cs="Tahoma"/>
          <w:i/>
          <w:sz w:val="20"/>
        </w:rPr>
        <w:t>,</w:t>
      </w:r>
      <w:r w:rsidRPr="00A87228">
        <w:rPr>
          <w:rFonts w:cs="Tahoma"/>
          <w:i/>
          <w:sz w:val="20"/>
        </w:rPr>
        <w:t xml:space="preserve"> and advancing the needs of</w:t>
      </w:r>
      <w:r w:rsidR="00B70681">
        <w:rPr>
          <w:rFonts w:cs="Tahoma"/>
          <w:i/>
          <w:sz w:val="20"/>
        </w:rPr>
        <w:t>,</w:t>
      </w:r>
      <w:r w:rsidRPr="00A87228">
        <w:rPr>
          <w:rFonts w:cs="Tahoma"/>
          <w:i/>
          <w:sz w:val="20"/>
        </w:rPr>
        <w:t xml:space="preserve"> people with disabilities and their families.</w:t>
      </w:r>
    </w:p>
    <w:p w:rsidR="0002355D" w:rsidRPr="00A87228" w:rsidRDefault="0002355D" w:rsidP="00C92095">
      <w:pPr>
        <w:spacing w:before="120" w:after="0"/>
        <w:rPr>
          <w:rFonts w:cs="Tahoma"/>
          <w:i/>
          <w:sz w:val="20"/>
        </w:rPr>
      </w:pPr>
      <w:r w:rsidRPr="00A87228">
        <w:rPr>
          <w:rFonts w:cs="Tahoma"/>
          <w:i/>
          <w:sz w:val="20"/>
        </w:rPr>
        <w:t>The Mission of DOF is to provide technical and financial services to individuals and organizations serving the disability market throughout the United States, with a focus on affordable housing, schools, and vocational training centers.</w:t>
      </w:r>
    </w:p>
    <w:p w:rsidR="0002355D" w:rsidRDefault="0002355D" w:rsidP="0002355D">
      <w:pPr>
        <w:tabs>
          <w:tab w:val="left" w:pos="6076"/>
        </w:tabs>
        <w:spacing w:after="0"/>
        <w:rPr>
          <w:rFonts w:cs="Tahoma"/>
          <w:color w:val="17365D"/>
          <w:sz w:val="22"/>
        </w:rPr>
      </w:pPr>
      <w:r>
        <w:rPr>
          <w:rFonts w:cs="Tahoma"/>
          <w:color w:val="17365D"/>
          <w:sz w:val="22"/>
        </w:rPr>
        <w:tab/>
      </w:r>
    </w:p>
    <w:p w:rsidR="0002355D" w:rsidRPr="00A87228" w:rsidRDefault="0002355D" w:rsidP="0002355D">
      <w:pPr>
        <w:spacing w:after="0"/>
        <w:jc w:val="center"/>
        <w:rPr>
          <w:rFonts w:cs="Tahoma"/>
          <w:b/>
          <w:color w:val="174A7C"/>
        </w:rPr>
      </w:pPr>
      <w:r w:rsidRPr="00A87228">
        <w:rPr>
          <w:rFonts w:cs="Tahoma"/>
          <w:color w:val="174A7C"/>
        </w:rPr>
        <w:t xml:space="preserve">This case study demonstrates </w:t>
      </w:r>
      <w:r w:rsidRPr="00A87228">
        <w:rPr>
          <w:rFonts w:cs="Tahoma"/>
          <w:b/>
          <w:color w:val="174A7C"/>
        </w:rPr>
        <w:t>the use of a shared service platform for growth.</w:t>
      </w:r>
    </w:p>
    <w:p w:rsidR="0002355D" w:rsidRPr="00A87228" w:rsidRDefault="0002355D" w:rsidP="0002355D">
      <w:pPr>
        <w:spacing w:after="0"/>
        <w:rPr>
          <w:rFonts w:cs="Tahoma"/>
          <w:b/>
          <w:color w:val="E46C0A"/>
          <w:sz w:val="22"/>
        </w:rPr>
      </w:pPr>
    </w:p>
    <w:p w:rsidR="0002355D" w:rsidRPr="00096122" w:rsidRDefault="00435C4A" w:rsidP="0002355D">
      <w:pPr>
        <w:spacing w:after="0"/>
        <w:rPr>
          <w:rFonts w:cs="Tahoma"/>
          <w:b/>
          <w:color w:val="F6A01A"/>
        </w:rPr>
      </w:pPr>
      <w:r>
        <w:rPr>
          <w:rFonts w:cs="Tahoma"/>
          <w:b/>
          <w:color w:val="F6A01A"/>
        </w:rPr>
        <w:t>Action</w:t>
      </w:r>
      <w:r w:rsidR="00096122">
        <w:rPr>
          <w:rFonts w:cs="Tahoma"/>
          <w:b/>
          <w:color w:val="F6A01A"/>
        </w:rPr>
        <w:t>:</w:t>
      </w:r>
    </w:p>
    <w:p w:rsidR="0002355D" w:rsidRPr="00A87228" w:rsidRDefault="00B70681" w:rsidP="0002355D">
      <w:pPr>
        <w:spacing w:after="0"/>
        <w:rPr>
          <w:rFonts w:cs="Tahoma"/>
          <w:sz w:val="20"/>
        </w:rPr>
      </w:pPr>
      <w:r>
        <w:rPr>
          <w:rFonts w:cs="Tahoma"/>
          <w:sz w:val="20"/>
        </w:rPr>
        <w:t>In 2012 t</w:t>
      </w:r>
      <w:r w:rsidR="0002355D" w:rsidRPr="00A87228">
        <w:rPr>
          <w:rFonts w:cs="Tahoma"/>
          <w:sz w:val="20"/>
        </w:rPr>
        <w:t xml:space="preserve">he Disability Opportunity Fund used </w:t>
      </w:r>
      <w:proofErr w:type="spellStart"/>
      <w:r w:rsidR="0002355D" w:rsidRPr="00A87228">
        <w:rPr>
          <w:rFonts w:cs="Tahoma"/>
          <w:sz w:val="20"/>
        </w:rPr>
        <w:t>CapNexus</w:t>
      </w:r>
      <w:proofErr w:type="spellEnd"/>
      <w:r w:rsidR="0002355D" w:rsidRPr="00A87228">
        <w:rPr>
          <w:rFonts w:cs="Tahoma"/>
          <w:sz w:val="20"/>
        </w:rPr>
        <w:t xml:space="preserve"> to finance a housing project for veterans and people with intellectual disabilities in partnership with Century Housing Corporation (CHC) in California. Because CHC is a short-term lender, it was looking for a partner who could provide long-term financing for the development of this affordable housing project. Despite the project’s strong financial and social performance, CHC was having difficulty finding a buyer for its $1 million participation loan. </w:t>
      </w:r>
      <w:r w:rsidR="00C92095" w:rsidRPr="00A87228">
        <w:rPr>
          <w:rFonts w:cs="Tahoma"/>
          <w:sz w:val="20"/>
        </w:rPr>
        <w:t xml:space="preserve">CHC’s Senior Vice President Aaron </w:t>
      </w:r>
      <w:proofErr w:type="spellStart"/>
      <w:r w:rsidR="00C92095" w:rsidRPr="00A87228">
        <w:rPr>
          <w:rFonts w:cs="Tahoma"/>
          <w:sz w:val="20"/>
        </w:rPr>
        <w:t>Wooler</w:t>
      </w:r>
      <w:proofErr w:type="spellEnd"/>
      <w:r w:rsidR="00C92095" w:rsidRPr="00A87228">
        <w:rPr>
          <w:rFonts w:cs="Tahoma"/>
          <w:sz w:val="20"/>
        </w:rPr>
        <w:t xml:space="preserve"> stated, “If not for </w:t>
      </w:r>
      <w:proofErr w:type="spellStart"/>
      <w:r w:rsidR="00C92095" w:rsidRPr="00A87228">
        <w:rPr>
          <w:rFonts w:cs="Tahoma"/>
          <w:sz w:val="20"/>
        </w:rPr>
        <w:t>CapNexus</w:t>
      </w:r>
      <w:proofErr w:type="spellEnd"/>
      <w:r w:rsidR="00C92095" w:rsidRPr="00A87228">
        <w:rPr>
          <w:rFonts w:cs="Tahoma"/>
          <w:sz w:val="20"/>
        </w:rPr>
        <w:t>, we (CHC) wouldn’t have crossed paths with the Disability Opportunity Fund. Given the alignment of this loan with DOF’s financing priorities, the synergies were incredible.”</w:t>
      </w:r>
    </w:p>
    <w:p w:rsidR="00A87228" w:rsidRDefault="00A87228" w:rsidP="0002355D">
      <w:pPr>
        <w:spacing w:after="0"/>
        <w:rPr>
          <w:rFonts w:cs="Tahoma"/>
          <w:b/>
          <w:color w:val="F6A01A"/>
        </w:rPr>
      </w:pPr>
    </w:p>
    <w:p w:rsidR="00A87228" w:rsidRDefault="00A87228" w:rsidP="0002355D">
      <w:pPr>
        <w:spacing w:after="0"/>
        <w:rPr>
          <w:rFonts w:cs="Tahoma"/>
          <w:b/>
          <w:color w:val="F6A01A"/>
        </w:rPr>
      </w:pPr>
    </w:p>
    <w:p w:rsidR="00A87228" w:rsidRDefault="00A87228" w:rsidP="0002355D">
      <w:pPr>
        <w:spacing w:after="0"/>
        <w:rPr>
          <w:rFonts w:cs="Tahoma"/>
          <w:b/>
          <w:color w:val="F6A01A"/>
        </w:rPr>
      </w:pPr>
    </w:p>
    <w:p w:rsidR="0002355D" w:rsidRPr="00096122" w:rsidRDefault="00435C4A" w:rsidP="0002355D">
      <w:pPr>
        <w:spacing w:after="0"/>
        <w:rPr>
          <w:rFonts w:cs="Tahoma"/>
          <w:b/>
          <w:color w:val="F6A01A"/>
        </w:rPr>
      </w:pPr>
      <w:r>
        <w:rPr>
          <w:rFonts w:cs="Tahoma"/>
          <w:b/>
          <w:color w:val="F6A01A"/>
        </w:rPr>
        <w:lastRenderedPageBreak/>
        <w:t>Process</w:t>
      </w:r>
      <w:r w:rsidR="0002355D" w:rsidRPr="00096122">
        <w:rPr>
          <w:rFonts w:cs="Tahoma"/>
          <w:b/>
          <w:color w:val="F6A01A"/>
        </w:rPr>
        <w:t>:</w:t>
      </w:r>
    </w:p>
    <w:p w:rsidR="0002355D" w:rsidRPr="00A87228" w:rsidRDefault="0002355D" w:rsidP="0002355D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  <w:sz w:val="20"/>
        </w:rPr>
      </w:pPr>
      <w:proofErr w:type="spellStart"/>
      <w:r w:rsidRPr="00A87228">
        <w:rPr>
          <w:rFonts w:ascii="Tahoma" w:hAnsi="Tahoma" w:cs="Tahoma"/>
          <w:sz w:val="20"/>
        </w:rPr>
        <w:t>CapNexus’s</w:t>
      </w:r>
      <w:proofErr w:type="spellEnd"/>
      <w:r w:rsidRPr="00A87228">
        <w:rPr>
          <w:rFonts w:ascii="Tahoma" w:hAnsi="Tahoma" w:cs="Tahoma"/>
          <w:sz w:val="20"/>
        </w:rPr>
        <w:t xml:space="preserve"> listing and matching service allowed DOF and CHC to connect with each other for a deal-specific transaction, which was aligned with DOF’s mission to serve people with disabilities and their families nationally.</w:t>
      </w:r>
    </w:p>
    <w:p w:rsidR="0002355D" w:rsidRPr="00A87228" w:rsidRDefault="0002355D" w:rsidP="0002355D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  <w:sz w:val="20"/>
        </w:rPr>
      </w:pPr>
      <w:r w:rsidRPr="00A87228">
        <w:rPr>
          <w:rFonts w:ascii="Tahoma" w:hAnsi="Tahoma" w:cs="Tahoma"/>
          <w:sz w:val="20"/>
        </w:rPr>
        <w:t xml:space="preserve">CHC posted the loan on </w:t>
      </w:r>
      <w:proofErr w:type="spellStart"/>
      <w:r w:rsidRPr="00A87228">
        <w:rPr>
          <w:rFonts w:ascii="Tahoma" w:hAnsi="Tahoma" w:cs="Tahoma"/>
          <w:sz w:val="20"/>
        </w:rPr>
        <w:t>CapNexus</w:t>
      </w:r>
      <w:proofErr w:type="spellEnd"/>
      <w:r w:rsidRPr="00A87228">
        <w:rPr>
          <w:rFonts w:ascii="Tahoma" w:hAnsi="Tahoma" w:cs="Tahoma"/>
          <w:sz w:val="20"/>
        </w:rPr>
        <w:t xml:space="preserve"> and connected with DOF, which assumed the entire loan so that CHC could begin construction.</w:t>
      </w:r>
    </w:p>
    <w:p w:rsidR="0002355D" w:rsidRPr="00A87228" w:rsidRDefault="0002355D" w:rsidP="0002355D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  <w:sz w:val="20"/>
        </w:rPr>
      </w:pPr>
      <w:r w:rsidRPr="00A87228">
        <w:rPr>
          <w:rFonts w:ascii="Tahoma" w:hAnsi="Tahoma" w:cs="Tahoma"/>
          <w:sz w:val="20"/>
        </w:rPr>
        <w:t>DOF financed a $1.25 million housing deal for veterans and people with intellectual disabilities in California.</w:t>
      </w:r>
    </w:p>
    <w:p w:rsidR="0002355D" w:rsidRDefault="0002355D" w:rsidP="0002355D">
      <w:pPr>
        <w:spacing w:after="0"/>
        <w:rPr>
          <w:rFonts w:cs="Tahoma"/>
        </w:rPr>
      </w:pPr>
    </w:p>
    <w:p w:rsidR="0002355D" w:rsidRPr="00096122" w:rsidRDefault="0002355D" w:rsidP="0002355D">
      <w:pPr>
        <w:spacing w:after="0"/>
        <w:rPr>
          <w:rFonts w:cs="Tahoma"/>
          <w:b/>
          <w:color w:val="F6A01A"/>
        </w:rPr>
      </w:pPr>
      <w:r w:rsidRPr="00096122">
        <w:rPr>
          <w:rFonts w:cs="Tahoma"/>
          <w:b/>
          <w:color w:val="F6A01A"/>
        </w:rPr>
        <w:t>Outcomes:</w:t>
      </w:r>
    </w:p>
    <w:p w:rsidR="0002355D" w:rsidRPr="00A87228" w:rsidRDefault="0002355D" w:rsidP="0002355D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</w:rPr>
      </w:pPr>
      <w:r w:rsidRPr="00A87228">
        <w:rPr>
          <w:rFonts w:ascii="Tahoma" w:hAnsi="Tahoma" w:cs="Tahoma"/>
          <w:sz w:val="20"/>
        </w:rPr>
        <w:t>The Plaza, which is CHC’s project financed by DOF, provides 200 apartments for single veterans with incomes less than $33,000. In addition to housing and rental support, social services including counseling, meals, social activities, and job assistance are provided in collaboration with United States Veterans Initiative.</w:t>
      </w:r>
    </w:p>
    <w:p w:rsidR="0002355D" w:rsidRPr="00A87228" w:rsidRDefault="0002355D" w:rsidP="0002355D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</w:rPr>
      </w:pPr>
      <w:r w:rsidRPr="00A87228">
        <w:rPr>
          <w:rFonts w:ascii="Tahoma" w:hAnsi="Tahoma" w:cs="Tahoma"/>
          <w:sz w:val="20"/>
        </w:rPr>
        <w:t xml:space="preserve">Use of the </w:t>
      </w:r>
      <w:proofErr w:type="spellStart"/>
      <w:r w:rsidRPr="00A87228">
        <w:rPr>
          <w:rFonts w:ascii="Tahoma" w:hAnsi="Tahoma" w:cs="Tahoma"/>
          <w:sz w:val="20"/>
        </w:rPr>
        <w:t>CapNexus</w:t>
      </w:r>
      <w:proofErr w:type="spellEnd"/>
      <w:r w:rsidRPr="00A87228">
        <w:rPr>
          <w:rFonts w:ascii="Tahoma" w:hAnsi="Tahoma" w:cs="Tahoma"/>
          <w:sz w:val="20"/>
        </w:rPr>
        <w:t xml:space="preserve"> system increased operational efficiencies by freeing staff time, easing the due diligence process, and fostering partnership. </w:t>
      </w:r>
    </w:p>
    <w:p w:rsidR="0002355D" w:rsidRPr="00A87228" w:rsidRDefault="0002355D" w:rsidP="0002355D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</w:rPr>
      </w:pPr>
      <w:r w:rsidRPr="00A87228">
        <w:rPr>
          <w:rFonts w:ascii="Tahoma" w:hAnsi="Tahoma" w:cs="Tahoma"/>
          <w:sz w:val="20"/>
        </w:rPr>
        <w:t xml:space="preserve">As DOF’s loan capital is increasingly deployed, it uses </w:t>
      </w:r>
      <w:proofErr w:type="spellStart"/>
      <w:r w:rsidRPr="00A87228">
        <w:rPr>
          <w:rFonts w:ascii="Tahoma" w:hAnsi="Tahoma" w:cs="Tahoma"/>
          <w:sz w:val="20"/>
        </w:rPr>
        <w:t>CapNexus</w:t>
      </w:r>
      <w:proofErr w:type="spellEnd"/>
      <w:r w:rsidRPr="00A87228">
        <w:rPr>
          <w:rFonts w:ascii="Tahoma" w:hAnsi="Tahoma" w:cs="Tahoma"/>
          <w:sz w:val="20"/>
        </w:rPr>
        <w:t xml:space="preserve"> as an originator to sell participations on its loans.</w:t>
      </w:r>
    </w:p>
    <w:p w:rsidR="0002355D" w:rsidRPr="00A87228" w:rsidRDefault="0002355D" w:rsidP="0002355D">
      <w:pPr>
        <w:spacing w:before="0" w:after="0"/>
        <w:rPr>
          <w:rFonts w:cs="Tahoma"/>
          <w:sz w:val="22"/>
        </w:rPr>
      </w:pPr>
    </w:p>
    <w:p w:rsidR="00096122" w:rsidRPr="00A87228" w:rsidRDefault="00096122" w:rsidP="0002355D">
      <w:pPr>
        <w:spacing w:before="0" w:after="0"/>
        <w:rPr>
          <w:rFonts w:cs="Tahoma"/>
          <w:sz w:val="22"/>
        </w:rPr>
      </w:pPr>
    </w:p>
    <w:p w:rsidR="0002355D" w:rsidRPr="00313AF1" w:rsidRDefault="0002355D" w:rsidP="00096122">
      <w:pPr>
        <w:spacing w:before="0" w:after="0"/>
        <w:rPr>
          <w:rFonts w:cs="Tahoma"/>
          <w:b/>
          <w:color w:val="174A7C"/>
        </w:rPr>
      </w:pPr>
      <w:r w:rsidRPr="00313AF1">
        <w:rPr>
          <w:rFonts w:cs="Tahoma"/>
          <w:b/>
          <w:color w:val="174A7C"/>
        </w:rPr>
        <w:t>Organization Profile: Disability Opportunity Fund</w:t>
      </w:r>
    </w:p>
    <w:p w:rsidR="00BF5457" w:rsidRDefault="00BF5457" w:rsidP="00BF5457">
      <w:pPr>
        <w:spacing w:before="0" w:after="0"/>
        <w:rPr>
          <w:rFonts w:cs="Tahoma"/>
          <w:b/>
          <w:color w:val="F6A01A"/>
          <w:sz w:val="20"/>
          <w:szCs w:val="20"/>
        </w:rPr>
      </w:pPr>
    </w:p>
    <w:p w:rsidR="0002355D" w:rsidRPr="00A87228" w:rsidRDefault="0002355D" w:rsidP="00BF5457">
      <w:pPr>
        <w:spacing w:before="0" w:after="0"/>
        <w:rPr>
          <w:rFonts w:cs="Tahoma"/>
          <w:b/>
          <w:color w:val="E46C0A"/>
          <w:sz w:val="20"/>
          <w:szCs w:val="20"/>
        </w:rPr>
      </w:pPr>
      <w:r w:rsidRPr="00A87228">
        <w:rPr>
          <w:rFonts w:cs="Tahoma"/>
          <w:b/>
          <w:color w:val="F6A01A"/>
          <w:sz w:val="20"/>
          <w:szCs w:val="20"/>
        </w:rPr>
        <w:t>Founded:</w:t>
      </w:r>
      <w:r w:rsidRPr="00A87228">
        <w:rPr>
          <w:rFonts w:cs="Tahoma"/>
          <w:b/>
          <w:color w:val="E46C0A"/>
          <w:sz w:val="20"/>
          <w:szCs w:val="20"/>
        </w:rPr>
        <w:t xml:space="preserve"> </w:t>
      </w:r>
      <w:r w:rsidR="00BF5457">
        <w:rPr>
          <w:rFonts w:cs="Tahoma"/>
          <w:b/>
          <w:color w:val="E46C0A"/>
          <w:sz w:val="20"/>
          <w:szCs w:val="20"/>
        </w:rPr>
        <w:tab/>
      </w:r>
      <w:r w:rsidR="00BF5457">
        <w:rPr>
          <w:rFonts w:cs="Tahoma"/>
          <w:b/>
          <w:color w:val="E46C0A"/>
          <w:sz w:val="20"/>
          <w:szCs w:val="20"/>
        </w:rPr>
        <w:tab/>
      </w:r>
      <w:r w:rsidRPr="00A87228">
        <w:rPr>
          <w:rFonts w:cs="Tahoma"/>
          <w:sz w:val="20"/>
          <w:szCs w:val="20"/>
        </w:rPr>
        <w:t>2007</w:t>
      </w:r>
    </w:p>
    <w:p w:rsidR="0002355D" w:rsidRPr="00A87228" w:rsidRDefault="0002355D" w:rsidP="006C4C74">
      <w:pPr>
        <w:spacing w:before="120" w:after="0"/>
        <w:rPr>
          <w:rFonts w:cs="Tahoma"/>
          <w:sz w:val="20"/>
          <w:szCs w:val="20"/>
        </w:rPr>
      </w:pPr>
      <w:r w:rsidRPr="00A87228">
        <w:rPr>
          <w:rFonts w:cs="Tahoma"/>
          <w:b/>
          <w:color w:val="F6A01A"/>
          <w:sz w:val="20"/>
          <w:szCs w:val="20"/>
        </w:rPr>
        <w:t>Type of CDFI:</w:t>
      </w:r>
      <w:r w:rsidRPr="00A87228">
        <w:rPr>
          <w:rFonts w:cs="Tahoma"/>
          <w:color w:val="F6A01A"/>
          <w:sz w:val="20"/>
          <w:szCs w:val="20"/>
        </w:rPr>
        <w:t xml:space="preserve"> </w:t>
      </w:r>
      <w:r w:rsidR="00BF5457">
        <w:rPr>
          <w:rFonts w:cs="Tahoma"/>
          <w:color w:val="F6A01A"/>
          <w:sz w:val="20"/>
          <w:szCs w:val="20"/>
        </w:rPr>
        <w:tab/>
      </w:r>
      <w:r w:rsidR="00BF5457">
        <w:rPr>
          <w:rFonts w:cs="Tahoma"/>
          <w:color w:val="F6A01A"/>
          <w:sz w:val="20"/>
          <w:szCs w:val="20"/>
        </w:rPr>
        <w:tab/>
      </w:r>
      <w:r w:rsidRPr="00A87228">
        <w:rPr>
          <w:rFonts w:cs="Tahoma"/>
          <w:sz w:val="20"/>
          <w:szCs w:val="20"/>
        </w:rPr>
        <w:t>Loan Fund</w:t>
      </w:r>
    </w:p>
    <w:p w:rsidR="0002355D" w:rsidRPr="00A87228" w:rsidRDefault="0002355D" w:rsidP="006C4C74">
      <w:pPr>
        <w:spacing w:before="120" w:after="0"/>
        <w:rPr>
          <w:rFonts w:cs="Tahoma"/>
          <w:sz w:val="20"/>
          <w:szCs w:val="20"/>
        </w:rPr>
      </w:pPr>
      <w:r w:rsidRPr="00A87228">
        <w:rPr>
          <w:rFonts w:cs="Tahoma"/>
          <w:b/>
          <w:color w:val="F6A01A"/>
          <w:sz w:val="20"/>
          <w:szCs w:val="20"/>
        </w:rPr>
        <w:t>Target Market:</w:t>
      </w:r>
      <w:r w:rsidRPr="00A87228">
        <w:rPr>
          <w:rFonts w:cs="Tahoma"/>
          <w:color w:val="E46C0A"/>
          <w:sz w:val="20"/>
          <w:szCs w:val="20"/>
        </w:rPr>
        <w:t xml:space="preserve"> </w:t>
      </w:r>
      <w:r w:rsidR="00BF5457">
        <w:rPr>
          <w:rFonts w:cs="Tahoma"/>
          <w:color w:val="E46C0A"/>
          <w:sz w:val="20"/>
          <w:szCs w:val="20"/>
        </w:rPr>
        <w:tab/>
      </w:r>
      <w:r w:rsidRPr="00A87228">
        <w:rPr>
          <w:rFonts w:cs="Tahoma"/>
          <w:sz w:val="20"/>
          <w:szCs w:val="20"/>
        </w:rPr>
        <w:t>National, People with disabilities and their families</w:t>
      </w:r>
    </w:p>
    <w:p w:rsidR="0002355D" w:rsidRDefault="0002355D" w:rsidP="006C4C74">
      <w:pPr>
        <w:spacing w:before="120" w:after="0"/>
        <w:rPr>
          <w:rFonts w:cs="Tahoma"/>
          <w:color w:val="000000" w:themeColor="text1"/>
          <w:sz w:val="20"/>
          <w:szCs w:val="20"/>
        </w:rPr>
      </w:pPr>
      <w:r w:rsidRPr="00A87228">
        <w:rPr>
          <w:rFonts w:cs="Tahoma"/>
          <w:b/>
          <w:color w:val="F6A01A"/>
          <w:sz w:val="20"/>
          <w:szCs w:val="20"/>
        </w:rPr>
        <w:t>Types of Lending:</w:t>
      </w:r>
      <w:r w:rsidRPr="00A87228">
        <w:rPr>
          <w:rFonts w:cs="Tahoma"/>
          <w:b/>
          <w:color w:val="E46C0A"/>
          <w:sz w:val="20"/>
          <w:szCs w:val="20"/>
        </w:rPr>
        <w:t xml:space="preserve"> </w:t>
      </w:r>
      <w:r w:rsidR="00BF5457">
        <w:rPr>
          <w:rFonts w:cs="Tahoma"/>
          <w:b/>
          <w:color w:val="E46C0A"/>
          <w:sz w:val="20"/>
          <w:szCs w:val="20"/>
        </w:rPr>
        <w:tab/>
      </w:r>
      <w:r w:rsidRPr="00A87228">
        <w:rPr>
          <w:rFonts w:cs="Tahoma"/>
          <w:color w:val="000000" w:themeColor="text1"/>
          <w:sz w:val="20"/>
          <w:szCs w:val="20"/>
        </w:rPr>
        <w:t>Housing</w:t>
      </w:r>
    </w:p>
    <w:p w:rsidR="0002355D" w:rsidRPr="006C4C74" w:rsidRDefault="006C4C74" w:rsidP="00BF5457">
      <w:pPr>
        <w:spacing w:before="120" w:after="0"/>
        <w:ind w:left="2160" w:hanging="2160"/>
        <w:rPr>
          <w:rFonts w:cs="Tahoma"/>
          <w:b/>
          <w:color w:val="E46C0A"/>
          <w:sz w:val="20"/>
          <w:szCs w:val="20"/>
        </w:rPr>
      </w:pPr>
      <w:r w:rsidRPr="006C4C74">
        <w:rPr>
          <w:rFonts w:cs="Tahoma"/>
          <w:b/>
          <w:color w:val="F6A01A"/>
          <w:sz w:val="20"/>
          <w:szCs w:val="20"/>
        </w:rPr>
        <w:t>Loan Products:</w:t>
      </w:r>
      <w:r>
        <w:rPr>
          <w:rFonts w:cs="Tahoma"/>
          <w:color w:val="000000" w:themeColor="text1"/>
          <w:sz w:val="20"/>
          <w:szCs w:val="20"/>
        </w:rPr>
        <w:t xml:space="preserve"> </w:t>
      </w:r>
      <w:r w:rsidR="00BF5457">
        <w:rPr>
          <w:rFonts w:cs="Tahoma"/>
          <w:color w:val="000000" w:themeColor="text1"/>
          <w:sz w:val="20"/>
          <w:szCs w:val="20"/>
        </w:rPr>
        <w:tab/>
      </w:r>
      <w:r>
        <w:rPr>
          <w:rFonts w:cs="Tahoma"/>
          <w:color w:val="000000" w:themeColor="text1"/>
          <w:sz w:val="20"/>
          <w:szCs w:val="20"/>
        </w:rPr>
        <w:t>Bridge and Term, Predevelopment, Acquisition, Gap Financing, Rehabilitation Financing</w:t>
      </w:r>
    </w:p>
    <w:p w:rsidR="0002355D" w:rsidRPr="00A87228" w:rsidRDefault="0002355D" w:rsidP="006C4C74">
      <w:pPr>
        <w:spacing w:before="120" w:after="0"/>
        <w:rPr>
          <w:rFonts w:cs="Tahoma"/>
          <w:sz w:val="20"/>
          <w:szCs w:val="20"/>
        </w:rPr>
      </w:pPr>
      <w:r w:rsidRPr="00A87228">
        <w:rPr>
          <w:rFonts w:cs="Tahoma"/>
          <w:b/>
          <w:color w:val="F6A01A"/>
          <w:sz w:val="20"/>
          <w:szCs w:val="20"/>
        </w:rPr>
        <w:t>Asset Size:</w:t>
      </w:r>
      <w:r w:rsidRPr="00A87228">
        <w:rPr>
          <w:rFonts w:cs="Tahoma"/>
          <w:sz w:val="20"/>
          <w:szCs w:val="20"/>
        </w:rPr>
        <w:t xml:space="preserve"> </w:t>
      </w:r>
      <w:r w:rsidR="00BF5457">
        <w:rPr>
          <w:rFonts w:cs="Tahoma"/>
          <w:sz w:val="20"/>
          <w:szCs w:val="20"/>
        </w:rPr>
        <w:tab/>
      </w:r>
      <w:r w:rsidR="00BF5457">
        <w:rPr>
          <w:rFonts w:cs="Tahoma"/>
          <w:sz w:val="20"/>
          <w:szCs w:val="20"/>
        </w:rPr>
        <w:tab/>
      </w:r>
      <w:r w:rsidRPr="00A87228">
        <w:rPr>
          <w:rFonts w:cs="Tahoma"/>
          <w:sz w:val="20"/>
          <w:szCs w:val="20"/>
        </w:rPr>
        <w:t>$7</w:t>
      </w:r>
      <w:r w:rsidR="007652B4">
        <w:rPr>
          <w:rFonts w:cs="Tahoma"/>
          <w:sz w:val="20"/>
          <w:szCs w:val="20"/>
        </w:rPr>
        <w:t xml:space="preserve">,033,370 </w:t>
      </w:r>
      <w:r w:rsidRPr="00A87228">
        <w:rPr>
          <w:rFonts w:cs="Tahoma"/>
          <w:sz w:val="20"/>
          <w:szCs w:val="20"/>
        </w:rPr>
        <w:t>(</w:t>
      </w:r>
      <w:r w:rsidR="00B70681">
        <w:rPr>
          <w:rFonts w:cs="Tahoma"/>
          <w:sz w:val="20"/>
          <w:szCs w:val="20"/>
        </w:rPr>
        <w:t xml:space="preserve">FY </w:t>
      </w:r>
      <w:r w:rsidRPr="00A87228">
        <w:rPr>
          <w:rFonts w:cs="Tahoma"/>
          <w:sz w:val="20"/>
          <w:szCs w:val="20"/>
        </w:rPr>
        <w:t>2012)</w:t>
      </w:r>
    </w:p>
    <w:p w:rsidR="00DC1D9D" w:rsidRPr="006C4C74" w:rsidRDefault="00BF5457" w:rsidP="006C4C74">
      <w:pPr>
        <w:spacing w:before="120" w:after="0"/>
        <w:rPr>
          <w:rFonts w:cs="Tahoma"/>
          <w:sz w:val="20"/>
          <w:szCs w:val="20"/>
        </w:rPr>
      </w:pPr>
      <w:r>
        <w:rPr>
          <w:rFonts w:cs="Tahoma"/>
          <w:b/>
          <w:color w:val="F6A01A"/>
          <w:sz w:val="20"/>
          <w:szCs w:val="20"/>
        </w:rPr>
        <w:t>No.</w:t>
      </w:r>
      <w:r w:rsidR="006C4C74">
        <w:rPr>
          <w:rFonts w:cs="Tahoma"/>
          <w:b/>
          <w:color w:val="F6A01A"/>
          <w:sz w:val="20"/>
          <w:szCs w:val="20"/>
        </w:rPr>
        <w:t xml:space="preserve"> </w:t>
      </w:r>
      <w:r w:rsidR="0002355D" w:rsidRPr="00A87228">
        <w:rPr>
          <w:rFonts w:cs="Tahoma"/>
          <w:b/>
          <w:color w:val="F6A01A"/>
          <w:sz w:val="20"/>
          <w:szCs w:val="20"/>
        </w:rPr>
        <w:t>of Employees:</w:t>
      </w:r>
      <w:r w:rsidR="0002355D" w:rsidRPr="00A87228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ab/>
      </w:r>
      <w:r w:rsidR="007652B4">
        <w:rPr>
          <w:rFonts w:cs="Tahoma"/>
          <w:sz w:val="20"/>
          <w:szCs w:val="20"/>
        </w:rPr>
        <w:t>5</w:t>
      </w:r>
    </w:p>
    <w:sectPr w:rsidR="00DC1D9D" w:rsidRPr="006C4C74" w:rsidSect="00096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48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4F" w:rsidRDefault="00E6404F" w:rsidP="005468AD">
      <w:pPr>
        <w:spacing w:before="0" w:after="0"/>
      </w:pPr>
      <w:r>
        <w:separator/>
      </w:r>
    </w:p>
  </w:endnote>
  <w:endnote w:type="continuationSeparator" w:id="0">
    <w:p w:rsidR="00E6404F" w:rsidRDefault="00E6404F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95" w:rsidRDefault="00BA3B62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20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457">
      <w:rPr>
        <w:rStyle w:val="PageNumber"/>
        <w:noProof/>
      </w:rPr>
      <w:t>2</w:t>
    </w:r>
    <w:r>
      <w:rPr>
        <w:rStyle w:val="PageNumber"/>
      </w:rPr>
      <w:fldChar w:fldCharType="end"/>
    </w:r>
  </w:p>
  <w:p w:rsidR="00C92095" w:rsidRDefault="00C92095">
    <w:pPr>
      <w:pStyle w:val="Footer"/>
    </w:pPr>
    <w:r w:rsidRPr="00096122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-575945</wp:posOffset>
          </wp:positionV>
          <wp:extent cx="7214264" cy="996287"/>
          <wp:effectExtent l="19050" t="0" r="5686" b="0"/>
          <wp:wrapNone/>
          <wp:docPr id="2" name="Picture 11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264" cy="996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95" w:rsidRPr="009E639E" w:rsidRDefault="00C92095" w:rsidP="00AB7054">
    <w:pPr>
      <w:jc w:val="center"/>
      <w:rPr>
        <w:b/>
        <w:color w:val="17365D"/>
        <w:sz w:val="22"/>
      </w:rPr>
    </w:pPr>
    <w:r>
      <w:rPr>
        <w:b/>
        <w:noProof/>
        <w:color w:val="17365D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-206574</wp:posOffset>
          </wp:positionV>
          <wp:extent cx="7214616" cy="996336"/>
          <wp:effectExtent l="19050" t="0" r="5334" b="0"/>
          <wp:wrapNone/>
          <wp:docPr id="11" name="Picture 11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616" cy="996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92095" w:rsidRPr="009A6419" w:rsidRDefault="00BA3B62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C92095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BF5457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C92095" w:rsidRPr="009E639E" w:rsidRDefault="00C92095" w:rsidP="00AB7054">
    <w:pPr>
      <w:jc w:val="center"/>
      <w:rPr>
        <w:b/>
        <w:color w:val="17365D"/>
        <w:sz w:val="22"/>
      </w:rPr>
    </w:pPr>
  </w:p>
  <w:p w:rsidR="00C92095" w:rsidRPr="009E639E" w:rsidRDefault="00C92095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95" w:rsidRPr="009E639E" w:rsidRDefault="00C92095" w:rsidP="009A6419">
    <w:pPr>
      <w:rPr>
        <w:b/>
        <w:color w:val="17365D"/>
        <w:sz w:val="22"/>
      </w:rPr>
    </w:pPr>
    <w:r>
      <w:rPr>
        <w:b/>
        <w:noProof/>
        <w:color w:val="17365D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7219950" cy="1000125"/>
          <wp:effectExtent l="19050" t="0" r="0" b="0"/>
          <wp:wrapNone/>
          <wp:docPr id="10" name="Picture 6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92095" w:rsidRPr="009A6419" w:rsidRDefault="00BA3B62" w:rsidP="009A6419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C92095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C92095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C92095" w:rsidRPr="009E639E" w:rsidRDefault="00C92095" w:rsidP="009A6419">
    <w:pPr>
      <w:rPr>
        <w:b/>
        <w:color w:val="17365D"/>
        <w:sz w:val="22"/>
      </w:rPr>
    </w:pPr>
  </w:p>
  <w:p w:rsidR="00C92095" w:rsidRPr="009E639E" w:rsidRDefault="00C92095" w:rsidP="009A6419">
    <w:pPr>
      <w:jc w:val="center"/>
      <w:rPr>
        <w:b/>
        <w:color w:val="17365D"/>
        <w:sz w:val="22"/>
      </w:rPr>
    </w:pPr>
  </w:p>
  <w:p w:rsidR="00C92095" w:rsidRPr="009E639E" w:rsidRDefault="00C92095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4F" w:rsidRDefault="00E6404F" w:rsidP="005468AD">
      <w:pPr>
        <w:spacing w:before="0" w:after="0"/>
      </w:pPr>
      <w:r>
        <w:separator/>
      </w:r>
    </w:p>
  </w:footnote>
  <w:footnote w:type="continuationSeparator" w:id="0">
    <w:p w:rsidR="00E6404F" w:rsidRDefault="00E6404F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95" w:rsidRDefault="00C920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95" w:rsidRPr="00AB7054" w:rsidRDefault="00C92095" w:rsidP="00AB705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143750" cy="84772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95" w:rsidRDefault="00C92095" w:rsidP="0026702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-226060</wp:posOffset>
          </wp:positionV>
          <wp:extent cx="7143750" cy="847725"/>
          <wp:effectExtent l="1905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E4D52"/>
    <w:multiLevelType w:val="hybridMultilevel"/>
    <w:tmpl w:val="F034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1222AB7"/>
    <w:multiLevelType w:val="hybridMultilevel"/>
    <w:tmpl w:val="B196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8"/>
  </w:num>
  <w:num w:numId="5">
    <w:abstractNumId w:val="3"/>
  </w:num>
  <w:num w:numId="6">
    <w:abstractNumId w:val="9"/>
  </w:num>
  <w:num w:numId="7">
    <w:abstractNumId w:val="4"/>
  </w:num>
  <w:num w:numId="8">
    <w:abstractNumId w:val="14"/>
  </w:num>
  <w:num w:numId="9">
    <w:abstractNumId w:val="0"/>
  </w:num>
  <w:num w:numId="10">
    <w:abstractNumId w:val="12"/>
  </w:num>
  <w:num w:numId="11">
    <w:abstractNumId w:val="15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6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0C26"/>
    <w:rsid w:val="0002355D"/>
    <w:rsid w:val="00077C61"/>
    <w:rsid w:val="0008693A"/>
    <w:rsid w:val="00096122"/>
    <w:rsid w:val="000E39A3"/>
    <w:rsid w:val="0010571D"/>
    <w:rsid w:val="00177AFE"/>
    <w:rsid w:val="0026122F"/>
    <w:rsid w:val="00267024"/>
    <w:rsid w:val="002B16F1"/>
    <w:rsid w:val="00313AF1"/>
    <w:rsid w:val="00364D23"/>
    <w:rsid w:val="003C49B9"/>
    <w:rsid w:val="003E1573"/>
    <w:rsid w:val="003F4739"/>
    <w:rsid w:val="00433207"/>
    <w:rsid w:val="00435C4A"/>
    <w:rsid w:val="00446705"/>
    <w:rsid w:val="0045538E"/>
    <w:rsid w:val="004902B4"/>
    <w:rsid w:val="004E2B9E"/>
    <w:rsid w:val="00507063"/>
    <w:rsid w:val="00544514"/>
    <w:rsid w:val="005468AD"/>
    <w:rsid w:val="00550A98"/>
    <w:rsid w:val="00593B7B"/>
    <w:rsid w:val="005B3690"/>
    <w:rsid w:val="005B4082"/>
    <w:rsid w:val="005F1898"/>
    <w:rsid w:val="005F5E69"/>
    <w:rsid w:val="006600CD"/>
    <w:rsid w:val="0066088D"/>
    <w:rsid w:val="00664FFC"/>
    <w:rsid w:val="006821CC"/>
    <w:rsid w:val="006B5733"/>
    <w:rsid w:val="006C4C74"/>
    <w:rsid w:val="007233A4"/>
    <w:rsid w:val="00723C78"/>
    <w:rsid w:val="00750C26"/>
    <w:rsid w:val="007652B4"/>
    <w:rsid w:val="00794837"/>
    <w:rsid w:val="007A038D"/>
    <w:rsid w:val="008064D6"/>
    <w:rsid w:val="0081710B"/>
    <w:rsid w:val="00834BD1"/>
    <w:rsid w:val="00857C3D"/>
    <w:rsid w:val="008637E6"/>
    <w:rsid w:val="00875411"/>
    <w:rsid w:val="00877BB0"/>
    <w:rsid w:val="008B5C91"/>
    <w:rsid w:val="00906074"/>
    <w:rsid w:val="009155D6"/>
    <w:rsid w:val="0091629E"/>
    <w:rsid w:val="009A6419"/>
    <w:rsid w:val="009C0484"/>
    <w:rsid w:val="009D6557"/>
    <w:rsid w:val="009E639E"/>
    <w:rsid w:val="00A87228"/>
    <w:rsid w:val="00AB7054"/>
    <w:rsid w:val="00AE1D00"/>
    <w:rsid w:val="00AF7FD2"/>
    <w:rsid w:val="00B10A17"/>
    <w:rsid w:val="00B2416F"/>
    <w:rsid w:val="00B70681"/>
    <w:rsid w:val="00B90F5B"/>
    <w:rsid w:val="00BA3B62"/>
    <w:rsid w:val="00BA7895"/>
    <w:rsid w:val="00BF5457"/>
    <w:rsid w:val="00C07D96"/>
    <w:rsid w:val="00C11857"/>
    <w:rsid w:val="00C25E20"/>
    <w:rsid w:val="00C83245"/>
    <w:rsid w:val="00C92095"/>
    <w:rsid w:val="00CA206F"/>
    <w:rsid w:val="00CC5C7D"/>
    <w:rsid w:val="00D04736"/>
    <w:rsid w:val="00D5720C"/>
    <w:rsid w:val="00D7345A"/>
    <w:rsid w:val="00D975F4"/>
    <w:rsid w:val="00DB53D5"/>
    <w:rsid w:val="00DB6705"/>
    <w:rsid w:val="00DC1D9D"/>
    <w:rsid w:val="00DF4A01"/>
    <w:rsid w:val="00E12590"/>
    <w:rsid w:val="00E22BBA"/>
    <w:rsid w:val="00E455E4"/>
    <w:rsid w:val="00E6404F"/>
    <w:rsid w:val="00E71AC2"/>
    <w:rsid w:val="00E81B42"/>
    <w:rsid w:val="00EE7880"/>
    <w:rsid w:val="00F11995"/>
    <w:rsid w:val="00F26962"/>
    <w:rsid w:val="00F60518"/>
    <w:rsid w:val="00F64B98"/>
    <w:rsid w:val="00F8605E"/>
    <w:rsid w:val="00FC3479"/>
    <w:rsid w:val="00FE64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qFormat="1"/>
    <w:lsdException w:name="Medium Grid 2" w:uiPriority="99" w:qFormat="1"/>
    <w:lsdException w:name="List Paragraph" w:uiPriority="34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customStyle="1" w:styleId="NoSpacing1">
    <w:name w:val="No Spacing1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styleId="ListParagraph">
    <w:name w:val="List Paragraph"/>
    <w:basedOn w:val="Normal"/>
    <w:uiPriority w:val="34"/>
    <w:qFormat/>
    <w:rsid w:val="00834BD1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qFormat="1"/>
    <w:lsdException w:name="Medium Grid 2" w:uiPriority="99" w:qFormat="1"/>
    <w:lsdException w:name="List Paragraph" w:uiPriority="34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customStyle="1" w:styleId="NoSpacing1">
    <w:name w:val="No Spacing1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styleId="ListParagraph">
    <w:name w:val="List Paragraph"/>
    <w:basedOn w:val="Normal"/>
    <w:uiPriority w:val="34"/>
    <w:qFormat/>
    <w:rsid w:val="00834BD1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nexus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thedof.or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 xsi:nil="true"/>
    <CDFI_x0020_Program xmlns="1dbe7651-cd84-4392-9fac-4e185041b4e2"/>
    <TaxCatchAll xmlns="1dbe7651-cd84-4392-9fac-4e185041b4e2"/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/>
    </ha62e04a38c94887971fe396dff18af8>
    <_dlc_DocId xmlns="1dbe7651-cd84-4392-9fac-4e185041b4e2">H34TN2MWWJXZ-58-535</_dlc_DocId>
    <_dlc_DocIdUrl xmlns="1dbe7651-cd84-4392-9fac-4e185041b4e2">
      <Url>https://www.cdfifund.gov/_layouts/15/DocIdRedir.aspx?ID=H34TN2MWWJXZ-58-535</Url>
      <Description>H34TN2MWWJXZ-58-535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5CFCB7-1707-43A0-ACAC-CBD9EA7BF805}"/>
</file>

<file path=customXml/itemProps2.xml><?xml version="1.0" encoding="utf-8"?>
<ds:datastoreItem xmlns:ds="http://schemas.openxmlformats.org/officeDocument/2006/customXml" ds:itemID="{78371238-616F-41CA-AD8F-9391CD008819}"/>
</file>

<file path=customXml/itemProps3.xml><?xml version="1.0" encoding="utf-8"?>
<ds:datastoreItem xmlns:ds="http://schemas.openxmlformats.org/officeDocument/2006/customXml" ds:itemID="{42F29ECE-AEDB-4140-9783-A2437A498B9E}"/>
</file>

<file path=customXml/itemProps4.xml><?xml version="1.0" encoding="utf-8"?>
<ds:datastoreItem xmlns:ds="http://schemas.openxmlformats.org/officeDocument/2006/customXml" ds:itemID="{82DC3104-689A-45C3-9B69-952B44509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3935</CharactersWithSpaces>
  <SharedDoc>false</SharedDoc>
  <HLinks>
    <vt:vector size="12" baseType="variant">
      <vt:variant>
        <vt:i4>8126543</vt:i4>
      </vt:variant>
      <vt:variant>
        <vt:i4>-1</vt:i4>
      </vt:variant>
      <vt:variant>
        <vt:i4>2054</vt:i4>
      </vt:variant>
      <vt:variant>
        <vt:i4>1</vt:i4>
      </vt:variant>
      <vt:variant>
        <vt:lpwstr>Small_Emerging_WORD_footer</vt:lpwstr>
      </vt:variant>
      <vt:variant>
        <vt:lpwstr/>
      </vt:variant>
      <vt:variant>
        <vt:i4>8126543</vt:i4>
      </vt:variant>
      <vt:variant>
        <vt:i4>-1</vt:i4>
      </vt:variant>
      <vt:variant>
        <vt:i4>2055</vt:i4>
      </vt:variant>
      <vt:variant>
        <vt:i4>1</vt:i4>
      </vt:variant>
      <vt:variant>
        <vt:lpwstr>Small_Emerging_WORD_footer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Misak</dc:creator>
  <cp:lastModifiedBy>Administrator</cp:lastModifiedBy>
  <cp:revision>7</cp:revision>
  <dcterms:created xsi:type="dcterms:W3CDTF">2013-05-24T16:12:00Z</dcterms:created>
  <dcterms:modified xsi:type="dcterms:W3CDTF">2013-06-10T01:02:00Z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135119db-bd31-498e-9431-57c1cd1ac414</vt:lpwstr>
  </property>
  <property fmtid="{D5CDD505-2E9C-101B-9397-08002B2CF9AE}" pid="4" name="Order">
    <vt:r8>53500</vt:r8>
  </property>
  <property fmtid="{D5CDD505-2E9C-101B-9397-08002B2CF9AE}" pid="5" name="TaxKeyword">
    <vt:lpwstr/>
  </property>
  <property fmtid="{D5CDD505-2E9C-101B-9397-08002B2CF9AE}" pid="6" name="URL">
    <vt:lpwstr/>
  </property>
  <property fmtid="{D5CDD505-2E9C-101B-9397-08002B2CF9AE}" pid="7" name="xd_Signature">
    <vt:bool>false</vt:bool>
  </property>
  <property fmtid="{D5CDD505-2E9C-101B-9397-08002B2CF9AE}" pid="8" name="CDFI Description">
    <vt:lpwstr/>
  </property>
  <property fmtid="{D5CDD505-2E9C-101B-9397-08002B2CF9AE}" pid="9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DFI Document Tags">
    <vt:lpwstr/>
  </property>
  <property fmtid="{D5CDD505-2E9C-101B-9397-08002B2CF9AE}" pid="14" name="TaxKeywordTaxHTField">
    <vt:lpwstr/>
  </property>
  <property fmtid="{D5CDD505-2E9C-101B-9397-08002B2CF9AE}" pid="15" name="TemplateUrl">
    <vt:lpwstr/>
  </property>
</Properties>
</file>