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6" w:rsidRPr="00613776" w:rsidRDefault="00613776" w:rsidP="00613776">
      <w:pPr>
        <w:spacing w:after="0"/>
        <w:jc w:val="center"/>
        <w:rPr>
          <w:rFonts w:ascii="Tahoma" w:hAnsi="Tahoma" w:cs="Tahoma"/>
          <w:b/>
          <w:color w:val="1D467C"/>
          <w:sz w:val="32"/>
          <w:szCs w:val="32"/>
        </w:rPr>
      </w:pPr>
      <w:r w:rsidRPr="00613776">
        <w:rPr>
          <w:rFonts w:ascii="Tahoma" w:hAnsi="Tahoma" w:cs="Tahoma"/>
          <w:b/>
          <w:color w:val="1D467C"/>
          <w:sz w:val="32"/>
          <w:szCs w:val="32"/>
        </w:rPr>
        <w:t>Federation of Appalachian Housing Enterprises</w:t>
      </w:r>
    </w:p>
    <w:p w:rsidR="00613776" w:rsidRPr="005A6F2F" w:rsidRDefault="005A6F2F" w:rsidP="00613776">
      <w:pPr>
        <w:spacing w:after="0" w:line="240" w:lineRule="auto"/>
        <w:jc w:val="center"/>
        <w:rPr>
          <w:rFonts w:ascii="Tahoma" w:hAnsi="Tahoma" w:cs="Tahoma"/>
          <w:color w:val="F6A01A"/>
          <w:sz w:val="20"/>
          <w:szCs w:val="20"/>
          <w:u w:val="single"/>
        </w:rPr>
      </w:pPr>
      <w:r w:rsidRPr="005A6F2F">
        <w:rPr>
          <w:rFonts w:ascii="Tahoma" w:hAnsi="Tahoma" w:cs="Tahoma"/>
          <w:color w:val="F6A01A"/>
          <w:sz w:val="20"/>
          <w:szCs w:val="20"/>
          <w:u w:val="single"/>
        </w:rPr>
        <w:t>www.fahe.org</w:t>
      </w:r>
    </w:p>
    <w:p w:rsidR="00613776" w:rsidRDefault="00613776" w:rsidP="00613776">
      <w:pPr>
        <w:spacing w:after="0"/>
        <w:rPr>
          <w:rFonts w:ascii="Tahoma" w:hAnsi="Tahoma" w:cs="Tahoma"/>
        </w:rPr>
      </w:pPr>
    </w:p>
    <w:p w:rsidR="00613776" w:rsidRPr="008637F1" w:rsidRDefault="00613776" w:rsidP="008637F1">
      <w:pPr>
        <w:autoSpaceDE w:val="0"/>
        <w:autoSpaceDN w:val="0"/>
        <w:adjustRightInd w:val="0"/>
        <w:spacing w:after="0" w:line="240" w:lineRule="auto"/>
        <w:rPr>
          <w:rFonts w:ascii="Century Gothic" w:eastAsia="Cambria" w:hAnsi="Century Gothic" w:cs="Century Gothic"/>
          <w:color w:val="00659B"/>
          <w:sz w:val="36"/>
          <w:szCs w:val="36"/>
        </w:rPr>
      </w:pPr>
      <w:r w:rsidRPr="00613776">
        <w:rPr>
          <w:rFonts w:ascii="Tahoma" w:hAnsi="Tahoma" w:cs="Tahoma"/>
          <w:i/>
          <w:sz w:val="20"/>
          <w:szCs w:val="20"/>
        </w:rPr>
        <w:t xml:space="preserve">Federation of Appalachian Housing Enterprises (FAHE) is a non-profit organization that provides affordable quality housing to those in need and support to </w:t>
      </w:r>
      <w:r w:rsidR="00511160">
        <w:rPr>
          <w:rFonts w:ascii="Tahoma" w:hAnsi="Tahoma" w:cs="Tahoma"/>
          <w:i/>
          <w:sz w:val="20"/>
          <w:szCs w:val="20"/>
        </w:rPr>
        <w:t>53</w:t>
      </w:r>
      <w:r w:rsidR="00511160" w:rsidRPr="00613776">
        <w:rPr>
          <w:rFonts w:ascii="Tahoma" w:hAnsi="Tahoma" w:cs="Tahoma"/>
          <w:i/>
          <w:sz w:val="20"/>
          <w:szCs w:val="20"/>
        </w:rPr>
        <w:t xml:space="preserve"> </w:t>
      </w:r>
      <w:r w:rsidRPr="00613776">
        <w:rPr>
          <w:rFonts w:ascii="Tahoma" w:hAnsi="Tahoma" w:cs="Tahoma"/>
          <w:i/>
          <w:sz w:val="20"/>
          <w:szCs w:val="20"/>
        </w:rPr>
        <w:t xml:space="preserve">member housing development organizations. Founded in 1980, FAHE's vision is a Central Appalachia "proud of sustaining its culture and environment and where growth, opportunity, and hope are balanced so that all people fulfill their </w:t>
      </w:r>
      <w:r w:rsidRPr="008637F1">
        <w:rPr>
          <w:rFonts w:ascii="Tahoma" w:hAnsi="Tahoma" w:cs="Tahoma"/>
          <w:i/>
          <w:sz w:val="20"/>
          <w:szCs w:val="20"/>
        </w:rPr>
        <w:t>potential with regard to housing, employment, educational opportunity and quality of life."</w:t>
      </w:r>
      <w:r w:rsidR="008637F1" w:rsidRPr="008637F1">
        <w:rPr>
          <w:rFonts w:ascii="Tahoma" w:hAnsi="Tahoma" w:cs="Tahoma"/>
          <w:i/>
          <w:sz w:val="20"/>
          <w:szCs w:val="20"/>
        </w:rPr>
        <w:t xml:space="preserve"> </w:t>
      </w:r>
      <w:r w:rsidR="00511160">
        <w:rPr>
          <w:rFonts w:ascii="Tahoma" w:eastAsia="Cambria" w:hAnsi="Tahoma" w:cs="Tahoma"/>
          <w:i/>
          <w:sz w:val="20"/>
          <w:szCs w:val="20"/>
        </w:rPr>
        <w:t>FAHE</w:t>
      </w:r>
      <w:r w:rsidR="00511160" w:rsidRPr="008637F1">
        <w:rPr>
          <w:rFonts w:ascii="Tahoma" w:eastAsia="Cambria" w:hAnsi="Tahoma" w:cs="Tahoma"/>
          <w:i/>
          <w:sz w:val="20"/>
          <w:szCs w:val="20"/>
        </w:rPr>
        <w:t xml:space="preserve"> </w:t>
      </w:r>
      <w:r w:rsidR="008637F1" w:rsidRPr="008637F1">
        <w:rPr>
          <w:rFonts w:ascii="Tahoma" w:eastAsia="Cambria" w:hAnsi="Tahoma" w:cs="Tahoma"/>
          <w:i/>
          <w:sz w:val="20"/>
          <w:szCs w:val="20"/>
        </w:rPr>
        <w:t>leads a network of Appalachian organizations to sustainable growth and measurable impact through collective voice and provides access to capital that creates housing and promotes community development.</w:t>
      </w:r>
    </w:p>
    <w:p w:rsidR="00613776" w:rsidRPr="00F84E86" w:rsidRDefault="00613776" w:rsidP="00613776">
      <w:pPr>
        <w:spacing w:after="0"/>
        <w:rPr>
          <w:rFonts w:ascii="Tahoma" w:hAnsi="Tahoma" w:cs="Tahoma"/>
          <w:i/>
        </w:rPr>
      </w:pPr>
    </w:p>
    <w:p w:rsidR="00613776" w:rsidRPr="00613776" w:rsidRDefault="00613776" w:rsidP="00613776">
      <w:pPr>
        <w:spacing w:after="0"/>
        <w:jc w:val="center"/>
        <w:rPr>
          <w:rFonts w:ascii="Tahoma" w:hAnsi="Tahoma" w:cs="Tahoma"/>
          <w:b/>
          <w:color w:val="1D467C"/>
          <w:sz w:val="24"/>
          <w:szCs w:val="24"/>
        </w:rPr>
      </w:pPr>
      <w:r w:rsidRPr="00613776">
        <w:rPr>
          <w:rFonts w:ascii="Tahoma" w:hAnsi="Tahoma" w:cs="Tahoma"/>
          <w:color w:val="1D467C"/>
          <w:sz w:val="24"/>
          <w:szCs w:val="24"/>
        </w:rPr>
        <w:t xml:space="preserve">This case study demonstrates </w:t>
      </w:r>
      <w:r w:rsidRPr="00613776">
        <w:rPr>
          <w:rFonts w:ascii="Tahoma" w:hAnsi="Tahoma" w:cs="Tahoma"/>
          <w:b/>
          <w:color w:val="1D467C"/>
          <w:sz w:val="24"/>
          <w:szCs w:val="24"/>
        </w:rPr>
        <w:t xml:space="preserve">creation of a regional network. </w:t>
      </w:r>
    </w:p>
    <w:p w:rsidR="00CD1219" w:rsidRPr="005C0949" w:rsidRDefault="00CD1219" w:rsidP="00CD1219">
      <w:pPr>
        <w:spacing w:after="0"/>
        <w:rPr>
          <w:rFonts w:ascii="Tahoma" w:hAnsi="Tahoma" w:cs="Tahoma"/>
          <w:sz w:val="20"/>
          <w:szCs w:val="20"/>
        </w:rPr>
      </w:pPr>
    </w:p>
    <w:p w:rsidR="00CD1219" w:rsidRPr="001855C8" w:rsidRDefault="001B798F" w:rsidP="00CD1219">
      <w:pPr>
        <w:spacing w:after="0"/>
        <w:rPr>
          <w:rFonts w:ascii="Tahoma" w:hAnsi="Tahoma" w:cs="Tahoma"/>
          <w:b/>
          <w:color w:val="F6A01A"/>
          <w:sz w:val="24"/>
          <w:szCs w:val="24"/>
        </w:rPr>
      </w:pPr>
      <w:r w:rsidRPr="001855C8">
        <w:rPr>
          <w:rFonts w:ascii="Tahoma" w:hAnsi="Tahoma" w:cs="Tahoma"/>
          <w:b/>
          <w:color w:val="F6A01A"/>
          <w:sz w:val="24"/>
          <w:szCs w:val="24"/>
        </w:rPr>
        <w:t>Action:</w:t>
      </w:r>
    </w:p>
    <w:p w:rsidR="00007503" w:rsidRPr="009F6748" w:rsidRDefault="00007503" w:rsidP="00C17FF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F6748">
        <w:rPr>
          <w:rFonts w:ascii="Tahoma" w:eastAsia="Times New Roman" w:hAnsi="Tahoma" w:cs="Tahoma"/>
          <w:sz w:val="20"/>
          <w:szCs w:val="20"/>
        </w:rPr>
        <w:t>FAHE was founded in 1980 as a membership organization for affordable housing organizations in the four state region of Central Appalachia (</w:t>
      </w:r>
      <w:r w:rsidR="00F70267" w:rsidRPr="009F6748">
        <w:rPr>
          <w:rFonts w:ascii="Tahoma" w:eastAsia="Times New Roman" w:hAnsi="Tahoma" w:cs="Tahoma"/>
          <w:sz w:val="20"/>
          <w:szCs w:val="20"/>
        </w:rPr>
        <w:t>Kentucky</w:t>
      </w:r>
      <w:r w:rsidRPr="009F6748">
        <w:rPr>
          <w:rFonts w:ascii="Tahoma" w:eastAsia="Times New Roman" w:hAnsi="Tahoma" w:cs="Tahoma"/>
          <w:sz w:val="20"/>
          <w:szCs w:val="20"/>
        </w:rPr>
        <w:t>, Tennessee, Virginia, and West Virginia).  FAHE provide</w:t>
      </w:r>
      <w:r w:rsidR="003D35EA">
        <w:rPr>
          <w:rFonts w:ascii="Tahoma" w:eastAsia="Times New Roman" w:hAnsi="Tahoma" w:cs="Tahoma"/>
          <w:sz w:val="20"/>
          <w:szCs w:val="20"/>
        </w:rPr>
        <w:t>s</w:t>
      </w:r>
      <w:r w:rsidRPr="009F6748">
        <w:rPr>
          <w:rFonts w:ascii="Tahoma" w:eastAsia="Times New Roman" w:hAnsi="Tahoma" w:cs="Tahoma"/>
          <w:sz w:val="20"/>
          <w:szCs w:val="20"/>
        </w:rPr>
        <w:t xml:space="preserve"> direct mortgage lending, as well as technical assistance and networking to its member organizations.  FAHE grew steadily through the 1990s, providing over 500 mortgages and becoming a certified CDFI in 1995.  </w:t>
      </w:r>
      <w:r w:rsidR="00F70267" w:rsidRPr="009F6748">
        <w:rPr>
          <w:rFonts w:ascii="Tahoma" w:eastAsia="Times New Roman" w:hAnsi="Tahoma" w:cs="Tahoma"/>
          <w:sz w:val="20"/>
          <w:szCs w:val="20"/>
        </w:rPr>
        <w:t>In 2003, FAHE created a new strategic plan and a performance challenge for growth, which</w:t>
      </w:r>
      <w:r w:rsidR="00E80BFC">
        <w:rPr>
          <w:rFonts w:ascii="Tahoma" w:eastAsia="Times New Roman" w:hAnsi="Tahoma" w:cs="Tahoma"/>
          <w:sz w:val="20"/>
          <w:szCs w:val="20"/>
        </w:rPr>
        <w:t xml:space="preserve"> has guided the expansion and successful scaling up of the organization and its members over the past ten years</w:t>
      </w:r>
      <w:r w:rsidR="00F70267" w:rsidRPr="009F6748">
        <w:rPr>
          <w:rFonts w:ascii="Tahoma" w:eastAsia="Times New Roman" w:hAnsi="Tahoma" w:cs="Tahoma"/>
          <w:sz w:val="20"/>
          <w:szCs w:val="20"/>
        </w:rPr>
        <w:t>.</w:t>
      </w:r>
    </w:p>
    <w:p w:rsidR="00CD1219" w:rsidRPr="009F6748" w:rsidRDefault="00CD1219" w:rsidP="00CD1219">
      <w:pPr>
        <w:pStyle w:val="Default"/>
        <w:rPr>
          <w:rFonts w:ascii="Tahoma" w:hAnsi="Tahoma" w:cs="Tahoma"/>
          <w:sz w:val="20"/>
          <w:szCs w:val="20"/>
        </w:rPr>
      </w:pPr>
      <w:r w:rsidRPr="009F6748">
        <w:rPr>
          <w:rFonts w:ascii="Tahoma" w:hAnsi="Tahoma" w:cs="Tahoma"/>
          <w:sz w:val="20"/>
          <w:szCs w:val="20"/>
        </w:rPr>
        <w:t xml:space="preserve">      </w:t>
      </w:r>
    </w:p>
    <w:p w:rsidR="00CD1219" w:rsidRPr="001855C8" w:rsidRDefault="00352488" w:rsidP="00CD1219">
      <w:pPr>
        <w:spacing w:after="0"/>
        <w:rPr>
          <w:rFonts w:ascii="Tahoma" w:hAnsi="Tahoma" w:cs="Tahoma"/>
          <w:b/>
          <w:color w:val="F6A01A"/>
          <w:sz w:val="24"/>
          <w:szCs w:val="24"/>
        </w:rPr>
      </w:pPr>
      <w:r w:rsidRPr="001855C8">
        <w:rPr>
          <w:rFonts w:ascii="Tahoma" w:hAnsi="Tahoma" w:cs="Tahoma"/>
          <w:b/>
          <w:color w:val="F6A01A"/>
          <w:sz w:val="24"/>
          <w:szCs w:val="24"/>
        </w:rPr>
        <w:t>Process:</w:t>
      </w:r>
    </w:p>
    <w:p w:rsidR="00CA47D7" w:rsidRPr="00CA47D7" w:rsidRDefault="00C41FB4" w:rsidP="00CA47D7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FAHE solicited feedback from member organizations during its strategic planning process and then incorporated </w:t>
      </w:r>
      <w:r w:rsidR="003D35EA">
        <w:rPr>
          <w:rFonts w:ascii="Tahoma" w:hAnsi="Tahoma" w:cs="Tahoma"/>
          <w:sz w:val="20"/>
          <w:szCs w:val="20"/>
        </w:rPr>
        <w:t>their</w:t>
      </w:r>
      <w:r>
        <w:rPr>
          <w:rFonts w:ascii="Tahoma" w:hAnsi="Tahoma" w:cs="Tahoma"/>
          <w:sz w:val="20"/>
          <w:szCs w:val="20"/>
        </w:rPr>
        <w:t xml:space="preserve"> suggestions into its goals.  One of the major shifts was the recognition that FAHE should not </w:t>
      </w:r>
      <w:r w:rsidRPr="00CA47D7">
        <w:rPr>
          <w:rFonts w:ascii="Tahoma" w:hAnsi="Tahoma" w:cs="Tahoma"/>
          <w:sz w:val="20"/>
          <w:szCs w:val="20"/>
        </w:rPr>
        <w:t xml:space="preserve">duplicate services that member organizations could provide, but should focus </w:t>
      </w:r>
      <w:r w:rsidR="003D35EA">
        <w:rPr>
          <w:rFonts w:ascii="Tahoma" w:hAnsi="Tahoma" w:cs="Tahoma"/>
          <w:sz w:val="20"/>
          <w:szCs w:val="20"/>
        </w:rPr>
        <w:t xml:space="preserve">instead </w:t>
      </w:r>
      <w:r w:rsidRPr="00CA47D7">
        <w:rPr>
          <w:rFonts w:ascii="Tahoma" w:hAnsi="Tahoma" w:cs="Tahoma"/>
          <w:sz w:val="20"/>
          <w:szCs w:val="20"/>
        </w:rPr>
        <w:t>on services to help build capacity and efficiencies for it and its members.</w:t>
      </w:r>
    </w:p>
    <w:p w:rsidR="00CA47D7" w:rsidRPr="00CA47D7" w:rsidRDefault="00CA47D7" w:rsidP="00CA47D7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 part of its strategic plan, </w:t>
      </w:r>
      <w:r w:rsidRPr="00CA47D7">
        <w:rPr>
          <w:rFonts w:ascii="Tahoma" w:hAnsi="Tahoma" w:cs="Tahoma"/>
          <w:sz w:val="20"/>
          <w:szCs w:val="20"/>
        </w:rPr>
        <w:t xml:space="preserve">FAHE also set performance goals for itself and its membership.  These included </w:t>
      </w:r>
      <w:r w:rsidRPr="00CA47D7">
        <w:rPr>
          <w:rFonts w:ascii="Tahoma" w:eastAsia="Times New Roman" w:hAnsi="Tahoma" w:cs="Tahoma"/>
          <w:sz w:val="20"/>
          <w:szCs w:val="20"/>
        </w:rPr>
        <w:t>increasing housing production to 8,000 units per year and capital deployment to $100 million annually by 2015.</w:t>
      </w:r>
    </w:p>
    <w:p w:rsidR="00E90725" w:rsidRDefault="00E90725" w:rsidP="00CD1219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 w:rsidRPr="00CA47D7">
        <w:rPr>
          <w:rFonts w:ascii="Tahoma" w:hAnsi="Tahoma" w:cs="Tahoma"/>
          <w:sz w:val="20"/>
          <w:szCs w:val="20"/>
        </w:rPr>
        <w:t>FAHE switched from a “hub and spoke” model, where members were mostly dependant on FAHE, to a “spider web” model, where members were dependant on each other as well as FAHE.  This change allowed FAHE and its members to scale</w:t>
      </w:r>
      <w:r>
        <w:rPr>
          <w:rFonts w:ascii="Tahoma" w:hAnsi="Tahoma" w:cs="Tahoma"/>
          <w:sz w:val="20"/>
          <w:szCs w:val="20"/>
        </w:rPr>
        <w:t xml:space="preserve"> up more sustainably and led to a large gain in direct financing.</w:t>
      </w:r>
    </w:p>
    <w:p w:rsidR="00E90725" w:rsidRPr="005C0949" w:rsidRDefault="00410E05" w:rsidP="00CD1219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2006, FAHE introduced the Berea Performance Com</w:t>
      </w:r>
      <w:r w:rsidR="000A6A5D">
        <w:rPr>
          <w:rFonts w:ascii="Tahoma" w:hAnsi="Tahoma" w:cs="Tahoma"/>
          <w:sz w:val="20"/>
          <w:szCs w:val="20"/>
        </w:rPr>
        <w:t xml:space="preserve">pacts.  The compacts provided a chance for FAHE’s members to take a leadership role in an area </w:t>
      </w:r>
      <w:r w:rsidR="00E80BFC">
        <w:rPr>
          <w:rFonts w:ascii="Tahoma" w:hAnsi="Tahoma" w:cs="Tahoma"/>
          <w:sz w:val="20"/>
          <w:szCs w:val="20"/>
        </w:rPr>
        <w:t>of</w:t>
      </w:r>
      <w:r w:rsidR="000A6A5D">
        <w:rPr>
          <w:rFonts w:ascii="Tahoma" w:hAnsi="Tahoma" w:cs="Tahoma"/>
          <w:sz w:val="20"/>
          <w:szCs w:val="20"/>
        </w:rPr>
        <w:t xml:space="preserve"> the</w:t>
      </w:r>
      <w:r w:rsidR="00E80BFC">
        <w:rPr>
          <w:rFonts w:ascii="Tahoma" w:hAnsi="Tahoma" w:cs="Tahoma"/>
          <w:sz w:val="20"/>
          <w:szCs w:val="20"/>
        </w:rPr>
        <w:t>ir</w:t>
      </w:r>
      <w:r w:rsidR="000A6A5D">
        <w:rPr>
          <w:rFonts w:ascii="Tahoma" w:hAnsi="Tahoma" w:cs="Tahoma"/>
          <w:sz w:val="20"/>
          <w:szCs w:val="20"/>
        </w:rPr>
        <w:t xml:space="preserve"> expertise, and for other members to build off of this strength instead of duplicating services.</w:t>
      </w:r>
      <w:r w:rsidR="00152D9A">
        <w:rPr>
          <w:rFonts w:ascii="Tahoma" w:hAnsi="Tahoma" w:cs="Tahoma"/>
          <w:sz w:val="20"/>
          <w:szCs w:val="20"/>
        </w:rPr>
        <w:t xml:space="preserve">  FAHE members initially formed contracts around five areas: loan servicing, multi-family housing development, cooperative purchasing, manufactured housing, and volunteer management.</w:t>
      </w:r>
    </w:p>
    <w:p w:rsidR="003D35EA" w:rsidRDefault="003D35EA" w:rsidP="00CD1219">
      <w:pPr>
        <w:spacing w:after="0"/>
        <w:rPr>
          <w:rFonts w:ascii="Tahoma" w:hAnsi="Tahoma" w:cs="Tahoma"/>
          <w:b/>
          <w:color w:val="F6A01A"/>
          <w:sz w:val="24"/>
          <w:szCs w:val="24"/>
        </w:rPr>
      </w:pPr>
    </w:p>
    <w:p w:rsidR="00CD1219" w:rsidRPr="001855C8" w:rsidRDefault="00CD1219" w:rsidP="00CD1219">
      <w:pPr>
        <w:spacing w:after="0"/>
        <w:rPr>
          <w:rFonts w:ascii="Tahoma" w:hAnsi="Tahoma" w:cs="Tahoma"/>
          <w:b/>
          <w:color w:val="F6A01A"/>
          <w:sz w:val="24"/>
          <w:szCs w:val="24"/>
        </w:rPr>
      </w:pPr>
      <w:r w:rsidRPr="001855C8">
        <w:rPr>
          <w:rFonts w:ascii="Tahoma" w:hAnsi="Tahoma" w:cs="Tahoma"/>
          <w:b/>
          <w:color w:val="F6A01A"/>
          <w:sz w:val="24"/>
          <w:szCs w:val="24"/>
        </w:rPr>
        <w:lastRenderedPageBreak/>
        <w:t>Outcomes:</w:t>
      </w:r>
    </w:p>
    <w:p w:rsidR="005E4006" w:rsidRDefault="005E4006" w:rsidP="00152D9A">
      <w:pPr>
        <w:pStyle w:val="ListParagraph"/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FAHE was able to increase its loan originations from about $5 million in</w:t>
      </w:r>
      <w:r w:rsidR="00CA47D7">
        <w:rPr>
          <w:rFonts w:ascii="Tahoma" w:eastAsia="Times New Roman" w:hAnsi="Tahoma" w:cs="Tahoma"/>
          <w:sz w:val="20"/>
          <w:szCs w:val="20"/>
        </w:rPr>
        <w:t xml:space="preserve"> 2002 to $</w:t>
      </w:r>
      <w:r w:rsidR="00511160">
        <w:rPr>
          <w:rFonts w:ascii="Tahoma" w:eastAsia="Times New Roman" w:hAnsi="Tahoma" w:cs="Tahoma"/>
          <w:sz w:val="20"/>
          <w:szCs w:val="20"/>
        </w:rPr>
        <w:t xml:space="preserve">47 </w:t>
      </w:r>
      <w:r w:rsidR="00CA47D7">
        <w:rPr>
          <w:rFonts w:ascii="Tahoma" w:eastAsia="Times New Roman" w:hAnsi="Tahoma" w:cs="Tahoma"/>
          <w:sz w:val="20"/>
          <w:szCs w:val="20"/>
        </w:rPr>
        <w:t xml:space="preserve">million in </w:t>
      </w:r>
      <w:r w:rsidR="00511160">
        <w:rPr>
          <w:rFonts w:ascii="Tahoma" w:eastAsia="Times New Roman" w:hAnsi="Tahoma" w:cs="Tahoma"/>
          <w:sz w:val="20"/>
          <w:szCs w:val="20"/>
        </w:rPr>
        <w:t>2013</w:t>
      </w:r>
      <w:r w:rsidR="00CA47D7">
        <w:rPr>
          <w:rFonts w:ascii="Tahoma" w:eastAsia="Times New Roman" w:hAnsi="Tahoma" w:cs="Tahoma"/>
          <w:sz w:val="20"/>
          <w:szCs w:val="20"/>
        </w:rPr>
        <w:t xml:space="preserve">.  FAHE’s members increased the number of housing units they produced from about 2,000 a year in 2002 to 4,300 units </w:t>
      </w:r>
      <w:r w:rsidR="009F6748">
        <w:rPr>
          <w:rFonts w:ascii="Tahoma" w:eastAsia="Times New Roman" w:hAnsi="Tahoma" w:cs="Tahoma"/>
          <w:sz w:val="20"/>
          <w:szCs w:val="20"/>
        </w:rPr>
        <w:t>in 2010</w:t>
      </w:r>
      <w:r w:rsidR="00511160">
        <w:rPr>
          <w:rFonts w:ascii="Tahoma" w:eastAsia="Times New Roman" w:hAnsi="Tahoma" w:cs="Tahoma"/>
          <w:sz w:val="20"/>
          <w:szCs w:val="20"/>
        </w:rPr>
        <w:t xml:space="preserve"> and 7,800 in 2013</w:t>
      </w:r>
      <w:r w:rsidR="009F6748">
        <w:rPr>
          <w:rFonts w:ascii="Tahoma" w:eastAsia="Times New Roman" w:hAnsi="Tahoma" w:cs="Tahoma"/>
          <w:sz w:val="20"/>
          <w:szCs w:val="20"/>
        </w:rPr>
        <w:t>.</w:t>
      </w:r>
    </w:p>
    <w:p w:rsidR="009F6748" w:rsidRDefault="009F6748" w:rsidP="00152D9A">
      <w:pPr>
        <w:pStyle w:val="ListParagraph"/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Largely due to the new </w:t>
      </w:r>
      <w:r w:rsidR="00E80BFC">
        <w:rPr>
          <w:rFonts w:ascii="Tahoma" w:eastAsia="Times New Roman" w:hAnsi="Tahoma" w:cs="Tahoma"/>
          <w:sz w:val="20"/>
          <w:szCs w:val="20"/>
        </w:rPr>
        <w:t xml:space="preserve">“spider </w:t>
      </w:r>
      <w:r>
        <w:rPr>
          <w:rFonts w:ascii="Tahoma" w:eastAsia="Times New Roman" w:hAnsi="Tahoma" w:cs="Tahoma"/>
          <w:sz w:val="20"/>
          <w:szCs w:val="20"/>
        </w:rPr>
        <w:t>web</w:t>
      </w:r>
      <w:r w:rsidR="00E80BFC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structure, FAHE has been able to increase its membership from 33 members in 2002 to </w:t>
      </w:r>
      <w:r w:rsidR="00511160">
        <w:rPr>
          <w:rFonts w:ascii="Tahoma" w:eastAsia="Times New Roman" w:hAnsi="Tahoma" w:cs="Tahoma"/>
          <w:sz w:val="20"/>
          <w:szCs w:val="20"/>
        </w:rPr>
        <w:t xml:space="preserve">53 </w:t>
      </w:r>
      <w:r>
        <w:rPr>
          <w:rFonts w:ascii="Tahoma" w:eastAsia="Times New Roman" w:hAnsi="Tahoma" w:cs="Tahoma"/>
          <w:sz w:val="20"/>
          <w:szCs w:val="20"/>
        </w:rPr>
        <w:t>members in 2013</w:t>
      </w:r>
      <w:r w:rsidR="00511160">
        <w:rPr>
          <w:rFonts w:ascii="Tahoma" w:eastAsia="Times New Roman" w:hAnsi="Tahoma" w:cs="Tahoma"/>
          <w:sz w:val="20"/>
          <w:szCs w:val="20"/>
        </w:rPr>
        <w:t>, and has expanded membership to organizations in Alabama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152D9A" w:rsidRDefault="00152D9A" w:rsidP="00152D9A">
      <w:pPr>
        <w:pStyle w:val="ListParagraph"/>
        <w:numPr>
          <w:ilvl w:val="0"/>
          <w:numId w:val="2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41654">
        <w:rPr>
          <w:rFonts w:ascii="Tahoma" w:eastAsia="Times New Roman" w:hAnsi="Tahoma" w:cs="Tahoma"/>
          <w:sz w:val="20"/>
          <w:szCs w:val="20"/>
        </w:rPr>
        <w:t xml:space="preserve">FAHE </w:t>
      </w:r>
      <w:r w:rsidR="009F6748">
        <w:rPr>
          <w:rFonts w:ascii="Tahoma" w:eastAsia="Times New Roman" w:hAnsi="Tahoma" w:cs="Tahoma"/>
          <w:sz w:val="20"/>
          <w:szCs w:val="20"/>
        </w:rPr>
        <w:t xml:space="preserve">now </w:t>
      </w:r>
      <w:r w:rsidRPr="00541654">
        <w:rPr>
          <w:rFonts w:ascii="Tahoma" w:eastAsia="Times New Roman" w:hAnsi="Tahoma" w:cs="Tahoma"/>
          <w:sz w:val="20"/>
          <w:szCs w:val="20"/>
        </w:rPr>
        <w:t xml:space="preserve">provides a number of in-house services including mortgage lending, loan servicing, underwriting, finance management, and investment. </w:t>
      </w:r>
      <w:r w:rsidR="003D35EA">
        <w:rPr>
          <w:rFonts w:ascii="Tahoma" w:eastAsia="Times New Roman" w:hAnsi="Tahoma" w:cs="Tahoma"/>
          <w:sz w:val="20"/>
          <w:szCs w:val="20"/>
        </w:rPr>
        <w:t>Access to these services and its staff</w:t>
      </w:r>
      <w:r w:rsidRPr="00541654">
        <w:rPr>
          <w:rFonts w:ascii="Tahoma" w:eastAsia="Times New Roman" w:hAnsi="Tahoma" w:cs="Tahoma"/>
          <w:sz w:val="20"/>
          <w:szCs w:val="20"/>
        </w:rPr>
        <w:t xml:space="preserve"> expertise </w:t>
      </w:r>
      <w:r w:rsidR="00A74F1A" w:rsidRPr="00541654">
        <w:rPr>
          <w:rFonts w:ascii="Tahoma" w:eastAsia="Times New Roman" w:hAnsi="Tahoma" w:cs="Tahoma"/>
          <w:sz w:val="20"/>
          <w:szCs w:val="20"/>
        </w:rPr>
        <w:t xml:space="preserve">has helped </w:t>
      </w:r>
      <w:r w:rsidR="003D35EA">
        <w:rPr>
          <w:rFonts w:ascii="Tahoma" w:eastAsia="Times New Roman" w:hAnsi="Tahoma" w:cs="Tahoma"/>
          <w:sz w:val="20"/>
          <w:szCs w:val="20"/>
        </w:rPr>
        <w:t xml:space="preserve">its </w:t>
      </w:r>
      <w:r w:rsidR="00A74F1A" w:rsidRPr="00541654">
        <w:rPr>
          <w:rFonts w:ascii="Tahoma" w:eastAsia="Times New Roman" w:hAnsi="Tahoma" w:cs="Tahoma"/>
          <w:sz w:val="20"/>
          <w:szCs w:val="20"/>
        </w:rPr>
        <w:t>members</w:t>
      </w:r>
      <w:r w:rsidR="00E57DD2">
        <w:rPr>
          <w:rFonts w:ascii="Tahoma" w:eastAsia="Times New Roman" w:hAnsi="Tahoma" w:cs="Tahoma"/>
          <w:sz w:val="20"/>
          <w:szCs w:val="20"/>
        </w:rPr>
        <w:t xml:space="preserve"> be more effective</w:t>
      </w:r>
      <w:r w:rsidR="00511160">
        <w:rPr>
          <w:rFonts w:ascii="Tahoma" w:eastAsia="Times New Roman" w:hAnsi="Tahoma" w:cs="Tahoma"/>
          <w:sz w:val="20"/>
          <w:szCs w:val="20"/>
        </w:rPr>
        <w:t>.</w:t>
      </w:r>
    </w:p>
    <w:p w:rsidR="00AC6FEF" w:rsidRPr="00AC6FEF" w:rsidRDefault="00AC6FEF" w:rsidP="00AC6FEF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AC6FEF">
        <w:rPr>
          <w:rFonts w:ascii="Tahoma" w:hAnsi="Tahoma" w:cs="Tahoma"/>
          <w:sz w:val="20"/>
          <w:szCs w:val="20"/>
        </w:rPr>
        <w:t>FAHE now provides contract ser</w:t>
      </w:r>
      <w:r w:rsidR="003D35EA">
        <w:rPr>
          <w:rFonts w:ascii="Tahoma" w:hAnsi="Tahoma" w:cs="Tahoma"/>
          <w:sz w:val="20"/>
          <w:szCs w:val="20"/>
        </w:rPr>
        <w:t>vicing for 24 organizations in seven</w:t>
      </w:r>
      <w:r w:rsidRPr="00AC6FEF">
        <w:rPr>
          <w:rFonts w:ascii="Tahoma" w:hAnsi="Tahoma" w:cs="Tahoma"/>
          <w:sz w:val="20"/>
          <w:szCs w:val="20"/>
        </w:rPr>
        <w:t xml:space="preserve"> states, servicing over $150 million in loans and achieving a 30-day deli</w:t>
      </w:r>
      <w:r w:rsidR="003D35EA">
        <w:rPr>
          <w:rFonts w:ascii="Tahoma" w:hAnsi="Tahoma" w:cs="Tahoma"/>
          <w:sz w:val="20"/>
          <w:szCs w:val="20"/>
        </w:rPr>
        <w:t>nquency rate of less than three percent</w:t>
      </w:r>
      <w:r w:rsidRPr="00AC6FEF">
        <w:rPr>
          <w:rFonts w:ascii="Tahoma" w:hAnsi="Tahoma" w:cs="Tahoma"/>
          <w:sz w:val="20"/>
          <w:szCs w:val="20"/>
        </w:rPr>
        <w:t>.</w:t>
      </w:r>
    </w:p>
    <w:p w:rsidR="00541654" w:rsidRDefault="00054108" w:rsidP="006C0ABA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Participation in the Berea Performance Compacts has increased from the original 8 members to 28 members as of 2009.  The compacts have also been evaluated and changed when needed.  </w:t>
      </w:r>
      <w:r w:rsidR="00E80BFC">
        <w:rPr>
          <w:rFonts w:ascii="Tahoma" w:hAnsi="Tahoma" w:cs="Tahoma"/>
          <w:sz w:val="20"/>
          <w:szCs w:val="20"/>
        </w:rPr>
        <w:t xml:space="preserve">For example, </w:t>
      </w:r>
      <w:r w:rsidR="00AC6FEF">
        <w:rPr>
          <w:rFonts w:ascii="Tahoma" w:hAnsi="Tahoma" w:cs="Tahoma"/>
          <w:sz w:val="20"/>
          <w:szCs w:val="20"/>
        </w:rPr>
        <w:t xml:space="preserve">in 2009, </w:t>
      </w:r>
      <w:r w:rsidR="00E80BFC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 cooperative purchasing compact was not successful and was discontinued and a green building compact was created based on member needs and feedback.</w:t>
      </w:r>
      <w:r w:rsidR="00511160">
        <w:rPr>
          <w:rFonts w:ascii="Tahoma" w:hAnsi="Tahoma" w:cs="Tahoma"/>
          <w:sz w:val="20"/>
          <w:szCs w:val="20"/>
        </w:rPr>
        <w:t xml:space="preserve">  The </w:t>
      </w:r>
      <w:r w:rsidR="00AC6FEF">
        <w:rPr>
          <w:rFonts w:ascii="Tahoma" w:hAnsi="Tahoma" w:cs="Tahoma"/>
          <w:sz w:val="20"/>
          <w:szCs w:val="20"/>
        </w:rPr>
        <w:t>latest initiative centers on a</w:t>
      </w:r>
      <w:r w:rsidR="00511160">
        <w:rPr>
          <w:rFonts w:ascii="Tahoma" w:hAnsi="Tahoma" w:cs="Tahoma"/>
          <w:sz w:val="20"/>
          <w:szCs w:val="20"/>
        </w:rPr>
        <w:t xml:space="preserve"> </w:t>
      </w:r>
      <w:r w:rsidR="00AC6FEF">
        <w:rPr>
          <w:rFonts w:ascii="Tahoma" w:hAnsi="Tahoma" w:cs="Tahoma"/>
          <w:sz w:val="20"/>
          <w:szCs w:val="20"/>
        </w:rPr>
        <w:t xml:space="preserve">USDA </w:t>
      </w:r>
      <w:r w:rsidR="00511160">
        <w:rPr>
          <w:rFonts w:ascii="Tahoma" w:hAnsi="Tahoma" w:cs="Tahoma"/>
          <w:sz w:val="20"/>
          <w:szCs w:val="20"/>
        </w:rPr>
        <w:t xml:space="preserve">502 Direct </w:t>
      </w:r>
      <w:r w:rsidR="00AC6FEF">
        <w:rPr>
          <w:rFonts w:ascii="Tahoma" w:hAnsi="Tahoma" w:cs="Tahoma"/>
          <w:sz w:val="20"/>
          <w:szCs w:val="20"/>
        </w:rPr>
        <w:t xml:space="preserve">Housing Loan </w:t>
      </w:r>
      <w:r w:rsidR="00511160">
        <w:rPr>
          <w:rFonts w:ascii="Tahoma" w:hAnsi="Tahoma" w:cs="Tahoma"/>
          <w:sz w:val="20"/>
          <w:szCs w:val="20"/>
        </w:rPr>
        <w:t>demonstrati</w:t>
      </w:r>
      <w:r w:rsidR="005F7BFD">
        <w:rPr>
          <w:rFonts w:ascii="Tahoma" w:hAnsi="Tahoma" w:cs="Tahoma"/>
          <w:sz w:val="20"/>
          <w:szCs w:val="20"/>
        </w:rPr>
        <w:t>on project and expansion of</w:t>
      </w:r>
      <w:r w:rsidR="003D35EA">
        <w:rPr>
          <w:rFonts w:ascii="Tahoma" w:hAnsi="Tahoma" w:cs="Tahoma"/>
          <w:sz w:val="20"/>
          <w:szCs w:val="20"/>
        </w:rPr>
        <w:t xml:space="preserve"> the USDA</w:t>
      </w:r>
      <w:r w:rsidR="005F7BFD">
        <w:rPr>
          <w:rFonts w:ascii="Tahoma" w:hAnsi="Tahoma" w:cs="Tahoma"/>
          <w:sz w:val="20"/>
          <w:szCs w:val="20"/>
        </w:rPr>
        <w:t xml:space="preserve"> </w:t>
      </w:r>
      <w:r w:rsidR="00511160">
        <w:rPr>
          <w:rFonts w:ascii="Tahoma" w:hAnsi="Tahoma" w:cs="Tahoma"/>
          <w:sz w:val="20"/>
          <w:szCs w:val="20"/>
        </w:rPr>
        <w:t>Guaranteed</w:t>
      </w:r>
      <w:r w:rsidR="005F7BFD">
        <w:rPr>
          <w:rFonts w:ascii="Tahoma" w:hAnsi="Tahoma" w:cs="Tahoma"/>
          <w:sz w:val="20"/>
          <w:szCs w:val="20"/>
        </w:rPr>
        <w:t xml:space="preserve"> Rural Housing Service</w:t>
      </w:r>
      <w:r w:rsidR="00511160">
        <w:rPr>
          <w:rFonts w:ascii="Tahoma" w:hAnsi="Tahoma" w:cs="Tahoma"/>
          <w:sz w:val="20"/>
          <w:szCs w:val="20"/>
        </w:rPr>
        <w:t xml:space="preserve"> loan production.</w:t>
      </w:r>
    </w:p>
    <w:p w:rsidR="003D35EA" w:rsidRPr="003D35EA" w:rsidRDefault="003D35EA" w:rsidP="003D35EA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“Our staff is small. Using FAHE</w:t>
      </w:r>
      <w:r w:rsidRPr="0031302F">
        <w:rPr>
          <w:rFonts w:ascii="Tahoma" w:hAnsi="Tahoma" w:cs="Tahoma"/>
          <w:sz w:val="20"/>
          <w:szCs w:val="20"/>
        </w:rPr>
        <w:t xml:space="preserve"> allows us to remain small, keeps our overhead down and helps me to avoid hiring new employees tha</w:t>
      </w:r>
      <w:r>
        <w:rPr>
          <w:rFonts w:ascii="Tahoma" w:hAnsi="Tahoma" w:cs="Tahoma"/>
          <w:sz w:val="20"/>
          <w:szCs w:val="20"/>
        </w:rPr>
        <w:t>t I can’t afford. Utilizing FAHE</w:t>
      </w:r>
      <w:r w:rsidRPr="0031302F">
        <w:rPr>
          <w:rFonts w:ascii="Tahoma" w:hAnsi="Tahoma" w:cs="Tahoma"/>
          <w:sz w:val="20"/>
          <w:szCs w:val="20"/>
        </w:rPr>
        <w:t xml:space="preserve">’s staff to help us package these [USDA 502 Direct] loans makes it affordable and they offer expertise to the product that we don’t have.”  -Blake </w:t>
      </w:r>
      <w:proofErr w:type="spellStart"/>
      <w:r w:rsidRPr="0031302F">
        <w:rPr>
          <w:rFonts w:ascii="Tahoma" w:hAnsi="Tahoma" w:cs="Tahoma"/>
          <w:sz w:val="20"/>
          <w:szCs w:val="20"/>
        </w:rPr>
        <w:t>Enlow</w:t>
      </w:r>
      <w:proofErr w:type="spellEnd"/>
      <w:r w:rsidRPr="0031302F">
        <w:rPr>
          <w:rFonts w:ascii="Tahoma" w:hAnsi="Tahoma" w:cs="Tahoma"/>
          <w:sz w:val="20"/>
          <w:szCs w:val="20"/>
        </w:rPr>
        <w:t>, Executive Director of COAP</w:t>
      </w:r>
    </w:p>
    <w:p w:rsidR="00CD1219" w:rsidRPr="005C0949" w:rsidRDefault="00CD1219" w:rsidP="00CD1219">
      <w:pPr>
        <w:spacing w:after="0"/>
        <w:rPr>
          <w:rFonts w:ascii="Tahoma" w:hAnsi="Tahoma" w:cs="Tahoma"/>
          <w:sz w:val="20"/>
          <w:szCs w:val="20"/>
        </w:rPr>
      </w:pPr>
    </w:p>
    <w:p w:rsidR="00CD1219" w:rsidRPr="001855C8" w:rsidRDefault="00CD1219" w:rsidP="00CD1219">
      <w:pPr>
        <w:spacing w:after="0"/>
        <w:rPr>
          <w:rFonts w:ascii="Tahoma" w:hAnsi="Tahoma" w:cs="Tahoma"/>
          <w:b/>
          <w:color w:val="174A7C"/>
          <w:sz w:val="24"/>
          <w:szCs w:val="24"/>
        </w:rPr>
      </w:pPr>
      <w:r w:rsidRPr="001855C8">
        <w:rPr>
          <w:rFonts w:ascii="Tahoma" w:hAnsi="Tahoma" w:cs="Tahoma"/>
          <w:b/>
          <w:color w:val="174A7C"/>
          <w:sz w:val="24"/>
          <w:szCs w:val="24"/>
        </w:rPr>
        <w:t>Organization Profile</w:t>
      </w:r>
      <w:r w:rsidR="001855C8">
        <w:rPr>
          <w:rFonts w:ascii="Tahoma" w:hAnsi="Tahoma" w:cs="Tahoma"/>
          <w:b/>
          <w:color w:val="174A7C"/>
          <w:sz w:val="24"/>
          <w:szCs w:val="24"/>
        </w:rPr>
        <w:t>:</w:t>
      </w:r>
    </w:p>
    <w:p w:rsidR="00CD1219" w:rsidRPr="005C0949" w:rsidRDefault="00CD1219" w:rsidP="00CD1219">
      <w:pPr>
        <w:spacing w:after="0"/>
        <w:rPr>
          <w:rFonts w:ascii="Tahoma" w:hAnsi="Tahoma" w:cs="Tahoma"/>
          <w:b/>
          <w:color w:val="F6A01A"/>
          <w:sz w:val="20"/>
          <w:szCs w:val="20"/>
        </w:rPr>
      </w:pPr>
    </w:p>
    <w:p w:rsidR="00CD1219" w:rsidRPr="005C0949" w:rsidRDefault="00CD1219" w:rsidP="009E7E38">
      <w:pPr>
        <w:spacing w:before="120" w:after="0"/>
        <w:rPr>
          <w:rFonts w:ascii="Tahoma" w:hAnsi="Tahoma" w:cs="Tahoma"/>
          <w:sz w:val="20"/>
          <w:szCs w:val="2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 xml:space="preserve">Founded: </w:t>
      </w:r>
      <w:r w:rsidR="00043111">
        <w:rPr>
          <w:rFonts w:ascii="Tahoma" w:hAnsi="Tahoma" w:cs="Tahoma"/>
          <w:sz w:val="20"/>
          <w:szCs w:val="20"/>
        </w:rPr>
        <w:t xml:space="preserve"> </w:t>
      </w:r>
      <w:r w:rsidR="00043111">
        <w:rPr>
          <w:rFonts w:ascii="Tahoma" w:hAnsi="Tahoma" w:cs="Tahoma"/>
          <w:sz w:val="20"/>
          <w:szCs w:val="20"/>
        </w:rPr>
        <w:tab/>
      </w:r>
      <w:r w:rsidR="00043111">
        <w:rPr>
          <w:rFonts w:ascii="Tahoma" w:hAnsi="Tahoma" w:cs="Tahoma"/>
          <w:sz w:val="20"/>
          <w:szCs w:val="20"/>
        </w:rPr>
        <w:tab/>
      </w:r>
      <w:r w:rsidR="00064907">
        <w:rPr>
          <w:rFonts w:ascii="Tahoma" w:hAnsi="Tahoma" w:cs="Tahoma"/>
          <w:sz w:val="20"/>
          <w:szCs w:val="20"/>
        </w:rPr>
        <w:t>1980</w:t>
      </w:r>
    </w:p>
    <w:p w:rsidR="00CD1219" w:rsidRPr="005C0949" w:rsidRDefault="00CD1219" w:rsidP="009E7E38">
      <w:pPr>
        <w:spacing w:before="120" w:after="0"/>
        <w:rPr>
          <w:rFonts w:ascii="Tahoma" w:hAnsi="Tahoma" w:cs="Tahoma"/>
          <w:sz w:val="20"/>
          <w:szCs w:val="2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>Type of CDFI:</w:t>
      </w:r>
      <w:r w:rsidRPr="005C0949">
        <w:rPr>
          <w:rFonts w:ascii="Tahoma" w:hAnsi="Tahoma" w:cs="Tahoma"/>
          <w:sz w:val="20"/>
          <w:szCs w:val="20"/>
        </w:rPr>
        <w:t xml:space="preserve"> </w:t>
      </w:r>
      <w:r w:rsidRPr="005C0949">
        <w:rPr>
          <w:rFonts w:ascii="Tahoma" w:hAnsi="Tahoma" w:cs="Tahoma"/>
          <w:sz w:val="20"/>
          <w:szCs w:val="20"/>
        </w:rPr>
        <w:tab/>
      </w:r>
      <w:r w:rsidR="005C0949">
        <w:rPr>
          <w:rFonts w:ascii="Tahoma" w:hAnsi="Tahoma" w:cs="Tahoma"/>
          <w:sz w:val="20"/>
          <w:szCs w:val="20"/>
        </w:rPr>
        <w:tab/>
      </w:r>
      <w:r w:rsidRPr="005C0949">
        <w:rPr>
          <w:rFonts w:ascii="Tahoma" w:hAnsi="Tahoma" w:cs="Tahoma"/>
          <w:sz w:val="20"/>
          <w:szCs w:val="20"/>
        </w:rPr>
        <w:t>Loan Fund</w:t>
      </w:r>
    </w:p>
    <w:p w:rsidR="00CD1219" w:rsidRPr="005C0949" w:rsidRDefault="00CD1219" w:rsidP="009E7E38">
      <w:pPr>
        <w:spacing w:before="120" w:after="0"/>
        <w:rPr>
          <w:rFonts w:ascii="Tahoma" w:hAnsi="Tahoma" w:cs="Tahoma"/>
          <w:sz w:val="20"/>
          <w:szCs w:val="2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>Target Market:</w:t>
      </w:r>
      <w:r w:rsidR="00043111">
        <w:rPr>
          <w:rFonts w:ascii="Tahoma" w:hAnsi="Tahoma" w:cs="Tahoma"/>
          <w:sz w:val="20"/>
          <w:szCs w:val="20"/>
        </w:rPr>
        <w:t xml:space="preserve"> </w:t>
      </w:r>
      <w:r w:rsidR="00043111">
        <w:rPr>
          <w:rFonts w:ascii="Tahoma" w:hAnsi="Tahoma" w:cs="Tahoma"/>
          <w:sz w:val="20"/>
          <w:szCs w:val="20"/>
        </w:rPr>
        <w:tab/>
      </w:r>
      <w:r w:rsidR="00064907">
        <w:rPr>
          <w:rFonts w:ascii="Tahoma" w:hAnsi="Tahoma" w:cs="Tahoma"/>
          <w:sz w:val="20"/>
          <w:szCs w:val="20"/>
        </w:rPr>
        <w:t>Appalachia</w:t>
      </w:r>
      <w:r w:rsidR="00783513">
        <w:rPr>
          <w:rFonts w:ascii="Tahoma" w:hAnsi="Tahoma" w:cs="Tahoma"/>
          <w:sz w:val="20"/>
          <w:szCs w:val="20"/>
        </w:rPr>
        <w:t>: Ke</w:t>
      </w:r>
      <w:r w:rsidR="005F7BFD">
        <w:rPr>
          <w:rFonts w:ascii="Tahoma" w:hAnsi="Tahoma" w:cs="Tahoma"/>
          <w:sz w:val="20"/>
          <w:szCs w:val="20"/>
        </w:rPr>
        <w:t>ntucky, Tennessee, Virginia,</w:t>
      </w:r>
      <w:r w:rsidR="00783513">
        <w:rPr>
          <w:rFonts w:ascii="Tahoma" w:hAnsi="Tahoma" w:cs="Tahoma"/>
          <w:sz w:val="20"/>
          <w:szCs w:val="20"/>
        </w:rPr>
        <w:t xml:space="preserve"> West Virginia</w:t>
      </w:r>
      <w:r w:rsidR="005F7BFD">
        <w:rPr>
          <w:rFonts w:ascii="Tahoma" w:hAnsi="Tahoma" w:cs="Tahoma"/>
          <w:sz w:val="20"/>
          <w:szCs w:val="20"/>
        </w:rPr>
        <w:t>, and Alabama</w:t>
      </w:r>
    </w:p>
    <w:p w:rsidR="00CD1219" w:rsidRPr="005C0949" w:rsidRDefault="00CD1219" w:rsidP="00043111">
      <w:pPr>
        <w:spacing w:before="120" w:after="0"/>
        <w:ind w:left="2160" w:hanging="2160"/>
        <w:rPr>
          <w:rFonts w:ascii="Tahoma" w:hAnsi="Tahoma" w:cs="Tahoma"/>
          <w:sz w:val="20"/>
          <w:szCs w:val="2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 xml:space="preserve">Types of Lending: </w:t>
      </w:r>
      <w:r w:rsidRPr="005C0949">
        <w:rPr>
          <w:rFonts w:ascii="Tahoma" w:hAnsi="Tahoma" w:cs="Tahoma"/>
          <w:b/>
          <w:color w:val="F6A01A"/>
          <w:sz w:val="20"/>
          <w:szCs w:val="20"/>
        </w:rPr>
        <w:tab/>
      </w:r>
      <w:r w:rsidR="00043111">
        <w:rPr>
          <w:rFonts w:ascii="Tahoma" w:hAnsi="Tahoma" w:cs="Tahoma"/>
          <w:sz w:val="20"/>
          <w:szCs w:val="20"/>
        </w:rPr>
        <w:t>Housing and Community Facilities</w:t>
      </w:r>
    </w:p>
    <w:p w:rsidR="00043111" w:rsidRDefault="001938AB" w:rsidP="00613776">
      <w:pPr>
        <w:spacing w:before="120" w:after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color w:val="F6A01A"/>
          <w:sz w:val="20"/>
          <w:szCs w:val="20"/>
        </w:rPr>
        <w:t>Loan Products</w:t>
      </w:r>
      <w:r w:rsidRPr="005C0949">
        <w:rPr>
          <w:rFonts w:ascii="Tahoma" w:hAnsi="Tahoma" w:cs="Tahoma"/>
          <w:b/>
          <w:color w:val="F6A01A"/>
          <w:sz w:val="20"/>
          <w:szCs w:val="20"/>
        </w:rPr>
        <w:t>:</w:t>
      </w:r>
      <w:r>
        <w:rPr>
          <w:rFonts w:ascii="Tahoma" w:hAnsi="Tahoma" w:cs="Tahoma"/>
          <w:b/>
          <w:color w:val="F6A01A"/>
          <w:sz w:val="20"/>
          <w:szCs w:val="20"/>
        </w:rPr>
        <w:tab/>
      </w:r>
      <w:r w:rsidR="00613776">
        <w:rPr>
          <w:rFonts w:ascii="Tahoma" w:eastAsia="Times New Roman" w:hAnsi="Tahoma" w:cs="Tahoma"/>
          <w:sz w:val="20"/>
          <w:szCs w:val="20"/>
        </w:rPr>
        <w:t xml:space="preserve">Refinance Mortgages, USDA 502 Direct Housing Loans, USDA Guaranteed Rural </w:t>
      </w:r>
    </w:p>
    <w:p w:rsidR="00A7267D" w:rsidRDefault="00613776" w:rsidP="00043111">
      <w:pPr>
        <w:spacing w:after="0"/>
        <w:ind w:left="21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Housing Service Mortgages, Community Facilities, Veteran Administration Mortgages, FHA 203(b) Mortgages, Conventional Mortgages</w:t>
      </w:r>
    </w:p>
    <w:p w:rsidR="00613776" w:rsidRPr="005C0949" w:rsidRDefault="00613776" w:rsidP="009E7E38">
      <w:pPr>
        <w:spacing w:after="0"/>
        <w:ind w:left="2160"/>
        <w:rPr>
          <w:rFonts w:ascii="Tahoma" w:hAnsi="Tahoma" w:cs="Tahoma"/>
          <w:sz w:val="20"/>
          <w:szCs w:val="20"/>
        </w:rPr>
      </w:pPr>
    </w:p>
    <w:p w:rsidR="00CD1219" w:rsidRPr="006C0ABA" w:rsidRDefault="00CD1219" w:rsidP="006C0ABA">
      <w:pPr>
        <w:rPr>
          <w:rFonts w:ascii="Calibri" w:eastAsia="Times New Roman" w:hAnsi="Calibri" w:cs="Times New Roman"/>
          <w:color w:val="00000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>Asset Size:</w:t>
      </w:r>
      <w:r w:rsidRPr="005C0949">
        <w:rPr>
          <w:rFonts w:ascii="Tahoma" w:hAnsi="Tahoma" w:cs="Tahoma"/>
          <w:sz w:val="20"/>
          <w:szCs w:val="20"/>
        </w:rPr>
        <w:t xml:space="preserve"> </w:t>
      </w:r>
      <w:r w:rsidRPr="005C0949">
        <w:rPr>
          <w:rFonts w:ascii="Tahoma" w:hAnsi="Tahoma" w:cs="Tahoma"/>
          <w:sz w:val="20"/>
          <w:szCs w:val="20"/>
        </w:rPr>
        <w:tab/>
      </w:r>
      <w:r w:rsidRPr="005C0949">
        <w:rPr>
          <w:rFonts w:ascii="Tahoma" w:hAnsi="Tahoma" w:cs="Tahoma"/>
          <w:sz w:val="20"/>
          <w:szCs w:val="20"/>
        </w:rPr>
        <w:tab/>
        <w:t>$</w:t>
      </w:r>
      <w:r w:rsidR="006C0ABA" w:rsidRPr="006C0ABA">
        <w:rPr>
          <w:rFonts w:ascii="Calibri" w:hAnsi="Calibri"/>
          <w:color w:val="000000"/>
        </w:rPr>
        <w:t xml:space="preserve"> </w:t>
      </w:r>
      <w:r w:rsidR="0016756C">
        <w:rPr>
          <w:rFonts w:ascii="Calibri" w:eastAsia="Times New Roman" w:hAnsi="Calibri" w:cs="Times New Roman"/>
          <w:color w:val="000000"/>
        </w:rPr>
        <w:t>52,700,000 (2013</w:t>
      </w:r>
      <w:r w:rsidR="006C0ABA">
        <w:rPr>
          <w:rFonts w:ascii="Calibri" w:eastAsia="Times New Roman" w:hAnsi="Calibri" w:cs="Times New Roman"/>
          <w:color w:val="000000"/>
        </w:rPr>
        <w:t>)</w:t>
      </w:r>
    </w:p>
    <w:p w:rsidR="0016756C" w:rsidRPr="0016756C" w:rsidRDefault="00CD1219" w:rsidP="009E7E38">
      <w:pPr>
        <w:spacing w:before="120" w:after="0"/>
        <w:rPr>
          <w:rFonts w:ascii="Tahoma" w:hAnsi="Tahoma" w:cs="Tahoma"/>
          <w:sz w:val="20"/>
          <w:szCs w:val="20"/>
        </w:rPr>
      </w:pPr>
      <w:r w:rsidRPr="005C0949">
        <w:rPr>
          <w:rFonts w:ascii="Tahoma" w:hAnsi="Tahoma" w:cs="Tahoma"/>
          <w:b/>
          <w:color w:val="F6A01A"/>
          <w:sz w:val="20"/>
          <w:szCs w:val="20"/>
        </w:rPr>
        <w:t>No. of Employees:</w:t>
      </w:r>
      <w:r w:rsidRPr="005C0949">
        <w:rPr>
          <w:rFonts w:ascii="Tahoma" w:hAnsi="Tahoma" w:cs="Tahoma"/>
          <w:sz w:val="20"/>
          <w:szCs w:val="20"/>
        </w:rPr>
        <w:t xml:space="preserve"> </w:t>
      </w:r>
      <w:r w:rsidRPr="005C0949">
        <w:rPr>
          <w:rFonts w:ascii="Tahoma" w:hAnsi="Tahoma" w:cs="Tahoma"/>
          <w:sz w:val="20"/>
          <w:szCs w:val="20"/>
        </w:rPr>
        <w:tab/>
      </w:r>
      <w:r w:rsidR="006C0ABA">
        <w:rPr>
          <w:rFonts w:ascii="Tahoma" w:hAnsi="Tahoma" w:cs="Tahoma"/>
          <w:sz w:val="20"/>
          <w:szCs w:val="20"/>
        </w:rPr>
        <w:t>3</w:t>
      </w:r>
      <w:r w:rsidR="0016756C">
        <w:rPr>
          <w:rFonts w:ascii="Tahoma" w:hAnsi="Tahoma" w:cs="Tahoma"/>
          <w:sz w:val="20"/>
          <w:szCs w:val="20"/>
        </w:rPr>
        <w:t>3 (</w:t>
      </w:r>
      <w:r w:rsidR="006C0ABA">
        <w:rPr>
          <w:rFonts w:ascii="Tahoma" w:hAnsi="Tahoma" w:cs="Tahoma"/>
          <w:sz w:val="20"/>
          <w:szCs w:val="20"/>
        </w:rPr>
        <w:t>201</w:t>
      </w:r>
      <w:r w:rsidR="0016756C">
        <w:rPr>
          <w:rFonts w:ascii="Tahoma" w:hAnsi="Tahoma" w:cs="Tahoma"/>
          <w:sz w:val="20"/>
          <w:szCs w:val="20"/>
        </w:rPr>
        <w:t>3</w:t>
      </w:r>
      <w:r w:rsidR="006C0ABA">
        <w:rPr>
          <w:rFonts w:ascii="Tahoma" w:hAnsi="Tahoma" w:cs="Tahoma"/>
          <w:sz w:val="20"/>
          <w:szCs w:val="20"/>
        </w:rPr>
        <w:t>)</w:t>
      </w:r>
    </w:p>
    <w:sectPr w:rsidR="0016756C" w:rsidRPr="0016756C" w:rsidSect="00C25E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48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FD" w:rsidRDefault="005F7BFD" w:rsidP="005468AD">
      <w:pPr>
        <w:spacing w:after="0"/>
      </w:pPr>
      <w:r>
        <w:separator/>
      </w:r>
    </w:p>
  </w:endnote>
  <w:endnote w:type="continuationSeparator" w:id="0">
    <w:p w:rsidR="005F7BFD" w:rsidRDefault="005F7BFD" w:rsidP="00546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D" w:rsidRDefault="005F7BFD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BFD" w:rsidRDefault="005F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D" w:rsidRPr="009E639E" w:rsidRDefault="005F7BFD" w:rsidP="00AB7054">
    <w:pPr>
      <w:jc w:val="center"/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219710</wp:posOffset>
          </wp:positionV>
          <wp:extent cx="7219950" cy="1000125"/>
          <wp:effectExtent l="19050" t="0" r="0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7BFD" w:rsidRPr="009A6419" w:rsidRDefault="005F7BFD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3D35EA">
      <w:rPr>
        <w:rStyle w:val="PageNumber"/>
        <w:noProof/>
        <w:sz w:val="20"/>
        <w:szCs w:val="20"/>
      </w:rPr>
      <w:t>2</w:t>
    </w:r>
    <w:r w:rsidRPr="009A6419">
      <w:rPr>
        <w:rStyle w:val="PageNumber"/>
        <w:sz w:val="20"/>
        <w:szCs w:val="20"/>
      </w:rPr>
      <w:fldChar w:fldCharType="end"/>
    </w:r>
  </w:p>
  <w:p w:rsidR="005F7BFD" w:rsidRPr="009E639E" w:rsidRDefault="005F7BFD" w:rsidP="00AB7054">
    <w:pPr>
      <w:jc w:val="center"/>
      <w:rPr>
        <w:b/>
        <w:color w:val="17365D"/>
      </w:rPr>
    </w:pPr>
  </w:p>
  <w:p w:rsidR="005F7BFD" w:rsidRPr="009E639E" w:rsidRDefault="005F7BFD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D" w:rsidRPr="009E639E" w:rsidRDefault="005F7BFD" w:rsidP="009A6419">
    <w:pPr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7BFD" w:rsidRPr="009A6419" w:rsidRDefault="005F7BFD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5F7BFD" w:rsidRPr="009E639E" w:rsidRDefault="005F7BFD" w:rsidP="009A6419">
    <w:pPr>
      <w:rPr>
        <w:b/>
        <w:color w:val="17365D"/>
      </w:rPr>
    </w:pPr>
  </w:p>
  <w:p w:rsidR="005F7BFD" w:rsidRPr="009E639E" w:rsidRDefault="005F7BFD" w:rsidP="009A6419">
    <w:pPr>
      <w:jc w:val="center"/>
      <w:rPr>
        <w:b/>
        <w:color w:val="17365D"/>
      </w:rPr>
    </w:pPr>
  </w:p>
  <w:p w:rsidR="005F7BFD" w:rsidRPr="009E639E" w:rsidRDefault="005F7BFD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FD" w:rsidRDefault="005F7BFD" w:rsidP="005468AD">
      <w:pPr>
        <w:spacing w:after="0"/>
      </w:pPr>
      <w:r>
        <w:separator/>
      </w:r>
    </w:p>
  </w:footnote>
  <w:footnote w:type="continuationSeparator" w:id="0">
    <w:p w:rsidR="005F7BFD" w:rsidRDefault="005F7BFD" w:rsidP="005468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D" w:rsidRPr="00AB7054" w:rsidRDefault="005F7BFD" w:rsidP="00AB705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D" w:rsidRDefault="005F7BFD" w:rsidP="002670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E4D52"/>
    <w:multiLevelType w:val="hybridMultilevel"/>
    <w:tmpl w:val="F034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62BAB"/>
    <w:multiLevelType w:val="hybridMultilevel"/>
    <w:tmpl w:val="0726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222AB7"/>
    <w:multiLevelType w:val="hybridMultilevel"/>
    <w:tmpl w:val="B196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92F9F"/>
    <w:multiLevelType w:val="hybridMultilevel"/>
    <w:tmpl w:val="5EEE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3"/>
  </w:num>
  <w:num w:numId="11">
    <w:abstractNumId w:val="16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7"/>
  </w:num>
  <w:num w:numId="18">
    <w:abstractNumId w:val="14"/>
  </w:num>
  <w:num w:numId="19">
    <w:abstractNumId w:val="21"/>
  </w:num>
  <w:num w:numId="20">
    <w:abstractNumId w:val="20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952A8"/>
    <w:rsid w:val="00007503"/>
    <w:rsid w:val="00043111"/>
    <w:rsid w:val="00054108"/>
    <w:rsid w:val="00064907"/>
    <w:rsid w:val="0008693A"/>
    <w:rsid w:val="00095C32"/>
    <w:rsid w:val="000A280F"/>
    <w:rsid w:val="000A6A5D"/>
    <w:rsid w:val="000B07C2"/>
    <w:rsid w:val="000E39A3"/>
    <w:rsid w:val="0010571D"/>
    <w:rsid w:val="00152D9A"/>
    <w:rsid w:val="00154371"/>
    <w:rsid w:val="0016756C"/>
    <w:rsid w:val="0018284E"/>
    <w:rsid w:val="001855C8"/>
    <w:rsid w:val="001938AB"/>
    <w:rsid w:val="001B798F"/>
    <w:rsid w:val="0021573D"/>
    <w:rsid w:val="0026122F"/>
    <w:rsid w:val="00267024"/>
    <w:rsid w:val="00292CDE"/>
    <w:rsid w:val="002952A8"/>
    <w:rsid w:val="002B16F1"/>
    <w:rsid w:val="0031302F"/>
    <w:rsid w:val="003511A6"/>
    <w:rsid w:val="00352488"/>
    <w:rsid w:val="003C49B9"/>
    <w:rsid w:val="003D35EA"/>
    <w:rsid w:val="003E1573"/>
    <w:rsid w:val="003F4739"/>
    <w:rsid w:val="00410E05"/>
    <w:rsid w:val="00433207"/>
    <w:rsid w:val="00446705"/>
    <w:rsid w:val="0045538E"/>
    <w:rsid w:val="00462492"/>
    <w:rsid w:val="004646B3"/>
    <w:rsid w:val="00470626"/>
    <w:rsid w:val="00495AC9"/>
    <w:rsid w:val="004A0FAF"/>
    <w:rsid w:val="004E2B9E"/>
    <w:rsid w:val="00507063"/>
    <w:rsid w:val="00511160"/>
    <w:rsid w:val="00535A35"/>
    <w:rsid w:val="00541654"/>
    <w:rsid w:val="00544514"/>
    <w:rsid w:val="005468AD"/>
    <w:rsid w:val="00550A98"/>
    <w:rsid w:val="00593B7B"/>
    <w:rsid w:val="005A6F2F"/>
    <w:rsid w:val="005B4082"/>
    <w:rsid w:val="005C0949"/>
    <w:rsid w:val="005C43D6"/>
    <w:rsid w:val="005E4006"/>
    <w:rsid w:val="005F1898"/>
    <w:rsid w:val="005F5E69"/>
    <w:rsid w:val="005F7BFD"/>
    <w:rsid w:val="00613776"/>
    <w:rsid w:val="006600CD"/>
    <w:rsid w:val="0066088D"/>
    <w:rsid w:val="00664FFC"/>
    <w:rsid w:val="006A0D83"/>
    <w:rsid w:val="006C0ABA"/>
    <w:rsid w:val="006D2750"/>
    <w:rsid w:val="00716907"/>
    <w:rsid w:val="007233A4"/>
    <w:rsid w:val="00723C78"/>
    <w:rsid w:val="00780365"/>
    <w:rsid w:val="00783513"/>
    <w:rsid w:val="00794837"/>
    <w:rsid w:val="007A3A97"/>
    <w:rsid w:val="008064D6"/>
    <w:rsid w:val="0081710B"/>
    <w:rsid w:val="00856498"/>
    <w:rsid w:val="00857C3D"/>
    <w:rsid w:val="008637E6"/>
    <w:rsid w:val="008637F1"/>
    <w:rsid w:val="00875411"/>
    <w:rsid w:val="008B0F3D"/>
    <w:rsid w:val="008B5C91"/>
    <w:rsid w:val="008C3041"/>
    <w:rsid w:val="00906074"/>
    <w:rsid w:val="009155D6"/>
    <w:rsid w:val="00986376"/>
    <w:rsid w:val="009A6419"/>
    <w:rsid w:val="009C0484"/>
    <w:rsid w:val="009E639E"/>
    <w:rsid w:val="009E7E38"/>
    <w:rsid w:val="009F6748"/>
    <w:rsid w:val="00A37096"/>
    <w:rsid w:val="00A452C8"/>
    <w:rsid w:val="00A705E0"/>
    <w:rsid w:val="00A7267D"/>
    <w:rsid w:val="00A74F1A"/>
    <w:rsid w:val="00AA405D"/>
    <w:rsid w:val="00AB40AE"/>
    <w:rsid w:val="00AB7054"/>
    <w:rsid w:val="00AC6FEF"/>
    <w:rsid w:val="00AE1D00"/>
    <w:rsid w:val="00B10A17"/>
    <w:rsid w:val="00B169A2"/>
    <w:rsid w:val="00B2416F"/>
    <w:rsid w:val="00B90F5B"/>
    <w:rsid w:val="00BA7895"/>
    <w:rsid w:val="00C07D96"/>
    <w:rsid w:val="00C11857"/>
    <w:rsid w:val="00C17FF6"/>
    <w:rsid w:val="00C25E20"/>
    <w:rsid w:val="00C41FB4"/>
    <w:rsid w:val="00C83245"/>
    <w:rsid w:val="00CA206F"/>
    <w:rsid w:val="00CA47D7"/>
    <w:rsid w:val="00CA50C3"/>
    <w:rsid w:val="00CC5C7D"/>
    <w:rsid w:val="00CD1219"/>
    <w:rsid w:val="00D04736"/>
    <w:rsid w:val="00D43A43"/>
    <w:rsid w:val="00D5720C"/>
    <w:rsid w:val="00D7345A"/>
    <w:rsid w:val="00DA7A1B"/>
    <w:rsid w:val="00DB53D5"/>
    <w:rsid w:val="00DB6705"/>
    <w:rsid w:val="00DC0B8C"/>
    <w:rsid w:val="00DC1D9D"/>
    <w:rsid w:val="00DF4A01"/>
    <w:rsid w:val="00E12590"/>
    <w:rsid w:val="00E22BBA"/>
    <w:rsid w:val="00E455E4"/>
    <w:rsid w:val="00E57DD2"/>
    <w:rsid w:val="00E71AC2"/>
    <w:rsid w:val="00E80BFC"/>
    <w:rsid w:val="00E87B61"/>
    <w:rsid w:val="00E90725"/>
    <w:rsid w:val="00EE7880"/>
    <w:rsid w:val="00F11995"/>
    <w:rsid w:val="00F15F01"/>
    <w:rsid w:val="00F26962"/>
    <w:rsid w:val="00F52210"/>
    <w:rsid w:val="00F55542"/>
    <w:rsid w:val="00F60518"/>
    <w:rsid w:val="00F64B98"/>
    <w:rsid w:val="00F70267"/>
    <w:rsid w:val="00F70E89"/>
    <w:rsid w:val="00F8605E"/>
    <w:rsid w:val="00FC3479"/>
    <w:rsid w:val="00FE6401"/>
    <w:rsid w:val="00FF64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D12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DA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D12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DA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Workshops\Case%20Studies\Cas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H34TN2MWWJXZ-58-534</_dlc_DocId>
    <_dlc_DocIdUrl xmlns="1dbe7651-cd84-4392-9fac-4e185041b4e2">
      <Url>https://www.cdfifund.gov/_layouts/15/DocIdRedir.aspx?ID=H34TN2MWWJXZ-58-534</Url>
      <Description>H34TN2MWWJXZ-58-534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ABAA40D2-2E5F-4E20-A37C-CFE626F6B2B4}"/>
</file>

<file path=customXml/itemProps2.xml><?xml version="1.0" encoding="utf-8"?>
<ds:datastoreItem xmlns:ds="http://schemas.openxmlformats.org/officeDocument/2006/customXml" ds:itemID="{8206E422-5299-4025-80DD-64560BA90D01}"/>
</file>

<file path=customXml/itemProps3.xml><?xml version="1.0" encoding="utf-8"?>
<ds:datastoreItem xmlns:ds="http://schemas.openxmlformats.org/officeDocument/2006/customXml" ds:itemID="{7E0061FB-44D5-4BF1-B80E-C7EBAE11C639}"/>
</file>

<file path=customXml/itemProps4.xml><?xml version="1.0" encoding="utf-8"?>
<ds:datastoreItem xmlns:ds="http://schemas.openxmlformats.org/officeDocument/2006/customXml" ds:itemID="{DD60BC38-CAC2-4485-8180-7B05A737290E}"/>
</file>

<file path=docProps/app.xml><?xml version="1.0" encoding="utf-8"?>
<Properties xmlns="http://schemas.openxmlformats.org/officeDocument/2006/extended-properties" xmlns:vt="http://schemas.openxmlformats.org/officeDocument/2006/docPropsVTypes">
  <Template>Case Study Template.dotx</Template>
  <TotalTime>22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4969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Anne Misak</cp:lastModifiedBy>
  <cp:revision>4</cp:revision>
  <dcterms:created xsi:type="dcterms:W3CDTF">2013-07-17T13:58:00Z</dcterms:created>
  <dcterms:modified xsi:type="dcterms:W3CDTF">2013-07-17T18:38:00Z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d7435e9a-0f52-444a-b554-90b954ea125d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53400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