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5D" w:rsidRPr="00313AF1" w:rsidRDefault="00C1701B" w:rsidP="0002355D">
      <w:pPr>
        <w:spacing w:after="0"/>
        <w:jc w:val="center"/>
        <w:rPr>
          <w:rFonts w:cs="Tahoma"/>
          <w:b/>
          <w:color w:val="174A7C"/>
          <w:sz w:val="32"/>
          <w:szCs w:val="32"/>
        </w:rPr>
      </w:pPr>
      <w:r w:rsidRPr="00A13EFE">
        <w:rPr>
          <w:rFonts w:cs="Tahoma"/>
          <w:b/>
          <w:color w:val="174A7C"/>
          <w:sz w:val="32"/>
          <w:szCs w:val="32"/>
        </w:rPr>
        <w:t>Indian Land Capital</w:t>
      </w:r>
      <w:r w:rsidR="0002355D" w:rsidRPr="00A13EFE">
        <w:rPr>
          <w:rFonts w:cs="Tahoma"/>
          <w:b/>
          <w:color w:val="174A7C"/>
          <w:sz w:val="32"/>
          <w:szCs w:val="32"/>
        </w:rPr>
        <w:t>’s</w:t>
      </w:r>
      <w:r w:rsidR="0002355D" w:rsidRPr="00313AF1">
        <w:rPr>
          <w:rFonts w:cs="Tahoma"/>
          <w:b/>
          <w:color w:val="174A7C"/>
          <w:sz w:val="32"/>
          <w:szCs w:val="32"/>
        </w:rPr>
        <w:t xml:space="preserve"> Use of </w:t>
      </w:r>
      <w:r>
        <w:rPr>
          <w:rFonts w:cs="Tahoma"/>
          <w:b/>
          <w:color w:val="174A7C"/>
          <w:sz w:val="32"/>
          <w:szCs w:val="32"/>
        </w:rPr>
        <w:t>CRF Contract Loan Servicing</w:t>
      </w:r>
    </w:p>
    <w:p w:rsidR="0002355D" w:rsidRPr="00C1701B" w:rsidRDefault="00F65458" w:rsidP="0002355D">
      <w:pPr>
        <w:spacing w:after="0"/>
        <w:jc w:val="center"/>
        <w:rPr>
          <w:rFonts w:cs="Tahoma"/>
          <w:color w:val="F6A01A"/>
          <w:sz w:val="20"/>
          <w:szCs w:val="20"/>
        </w:rPr>
      </w:pPr>
      <w:hyperlink r:id="rId7" w:history="1">
        <w:r w:rsidR="00A13EFE" w:rsidRPr="00A13EFE">
          <w:rPr>
            <w:rStyle w:val="Hyperlink"/>
            <w:color w:val="F6A01A"/>
            <w:sz w:val="20"/>
            <w:szCs w:val="20"/>
          </w:rPr>
          <w:t>www.ilcc.net</w:t>
        </w:r>
      </w:hyperlink>
      <w:r w:rsidR="00A13EFE">
        <w:rPr>
          <w:color w:val="F6A01A"/>
          <w:sz w:val="20"/>
          <w:szCs w:val="20"/>
        </w:rPr>
        <w:t xml:space="preserve"> </w:t>
      </w:r>
      <w:r w:rsidR="0002355D" w:rsidRPr="00C1701B">
        <w:rPr>
          <w:rFonts w:cs="Tahoma"/>
          <w:color w:val="F6A01A"/>
          <w:sz w:val="20"/>
          <w:szCs w:val="20"/>
        </w:rPr>
        <w:t xml:space="preserve"> | </w:t>
      </w:r>
      <w:hyperlink r:id="rId8" w:history="1">
        <w:r w:rsidR="00C1701B" w:rsidRPr="00C1701B">
          <w:rPr>
            <w:rStyle w:val="Hyperlink"/>
            <w:color w:val="F6A01A"/>
            <w:sz w:val="20"/>
            <w:szCs w:val="20"/>
          </w:rPr>
          <w:t>www.crfusa.com/loan_servicing</w:t>
        </w:r>
      </w:hyperlink>
      <w:r w:rsidR="00C1701B">
        <w:rPr>
          <w:color w:val="F6A01A"/>
          <w:sz w:val="20"/>
          <w:szCs w:val="20"/>
        </w:rPr>
        <w:t xml:space="preserve"> </w:t>
      </w:r>
      <w:r w:rsidR="0002355D" w:rsidRPr="00C1701B">
        <w:rPr>
          <w:rFonts w:cs="Tahoma"/>
          <w:color w:val="F6A01A"/>
          <w:sz w:val="20"/>
          <w:szCs w:val="20"/>
        </w:rPr>
        <w:t xml:space="preserve"> </w:t>
      </w:r>
    </w:p>
    <w:p w:rsidR="0002355D" w:rsidRPr="003064A8" w:rsidRDefault="00F65458" w:rsidP="00C92095">
      <w:pPr>
        <w:spacing w:before="120" w:after="0"/>
        <w:rPr>
          <w:rFonts w:cs="Tahoma"/>
          <w:i/>
          <w:sz w:val="22"/>
        </w:rPr>
      </w:pPr>
      <w:r>
        <w:rPr>
          <w:rFonts w:cs="Tahoma"/>
          <w:i/>
          <w:noProof/>
          <w:sz w:val="22"/>
        </w:rPr>
        <w:pict>
          <v:rect id="Rectangle 2" o:spid="_x0000_s1026" style="position:absolute;margin-left:0;margin-top:17.4pt;width:480.75pt;height:179.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" filled="f" strokecolor="#f6a01a" strokeweight="1.5pt"/>
        </w:pict>
      </w:r>
    </w:p>
    <w:p w:rsidR="0002355D" w:rsidRPr="00046F4C" w:rsidRDefault="00C1701B" w:rsidP="00C92095">
      <w:pPr>
        <w:spacing w:before="120" w:after="0"/>
        <w:jc w:val="center"/>
        <w:rPr>
          <w:rFonts w:cs="Tahoma"/>
          <w:b/>
          <w:color w:val="174A7C"/>
          <w:szCs w:val="32"/>
        </w:rPr>
      </w:pPr>
      <w:r w:rsidRPr="00046F4C">
        <w:rPr>
          <w:rFonts w:cs="Tahoma"/>
          <w:b/>
          <w:color w:val="174A7C"/>
          <w:szCs w:val="32"/>
        </w:rPr>
        <w:t>CRF Contract Loan Servicing</w:t>
      </w:r>
    </w:p>
    <w:p w:rsidR="00C92095" w:rsidRPr="00C92095" w:rsidRDefault="00C92095" w:rsidP="00BD3BC5">
      <w:pPr>
        <w:spacing w:before="0" w:after="0"/>
        <w:rPr>
          <w:rFonts w:cs="Tahoma"/>
          <w:b/>
          <w:color w:val="174A7C"/>
          <w:sz w:val="22"/>
          <w:szCs w:val="32"/>
        </w:rPr>
      </w:pPr>
    </w:p>
    <w:p w:rsidR="00BD3BC5" w:rsidRDefault="00A13EFE" w:rsidP="00BD3BC5">
      <w:pPr>
        <w:spacing w:before="0" w:after="0"/>
        <w:rPr>
          <w:rFonts w:cs="Tahoma"/>
          <w:color w:val="000000" w:themeColor="text1"/>
          <w:sz w:val="20"/>
          <w:szCs w:val="20"/>
        </w:rPr>
      </w:pPr>
      <w:r>
        <w:rPr>
          <w:rFonts w:cs="Tahoma"/>
          <w:color w:val="000000" w:themeColor="text1"/>
          <w:sz w:val="20"/>
          <w:szCs w:val="20"/>
        </w:rPr>
        <w:t xml:space="preserve">Community Reinvestment Fund (CRF) offers </w:t>
      </w:r>
      <w:r w:rsidR="00B45C06">
        <w:rPr>
          <w:rFonts w:cs="Tahoma"/>
          <w:color w:val="000000" w:themeColor="text1"/>
          <w:sz w:val="20"/>
          <w:szCs w:val="20"/>
        </w:rPr>
        <w:t>c</w:t>
      </w:r>
      <w:r>
        <w:rPr>
          <w:rFonts w:cs="Tahoma"/>
          <w:color w:val="000000" w:themeColor="text1"/>
          <w:sz w:val="20"/>
          <w:szCs w:val="20"/>
        </w:rPr>
        <w:t xml:space="preserve">ontract </w:t>
      </w:r>
      <w:r w:rsidR="00B45C06">
        <w:rPr>
          <w:rFonts w:cs="Tahoma"/>
          <w:color w:val="000000" w:themeColor="text1"/>
          <w:sz w:val="20"/>
          <w:szCs w:val="20"/>
        </w:rPr>
        <w:t>l</w:t>
      </w:r>
      <w:r>
        <w:rPr>
          <w:rFonts w:cs="Tahoma"/>
          <w:color w:val="000000" w:themeColor="text1"/>
          <w:sz w:val="20"/>
          <w:szCs w:val="20"/>
        </w:rPr>
        <w:t xml:space="preserve">oan </w:t>
      </w:r>
      <w:r w:rsidR="00B45C06">
        <w:rPr>
          <w:rFonts w:cs="Tahoma"/>
          <w:color w:val="000000" w:themeColor="text1"/>
          <w:sz w:val="20"/>
          <w:szCs w:val="20"/>
        </w:rPr>
        <w:t>s</w:t>
      </w:r>
      <w:r>
        <w:rPr>
          <w:rFonts w:cs="Tahoma"/>
          <w:color w:val="000000" w:themeColor="text1"/>
          <w:sz w:val="20"/>
          <w:szCs w:val="20"/>
        </w:rPr>
        <w:t>ervicing speci</w:t>
      </w:r>
      <w:r w:rsidR="00F10E7D">
        <w:rPr>
          <w:rFonts w:cs="Tahoma"/>
          <w:color w:val="000000" w:themeColor="text1"/>
          <w:sz w:val="20"/>
          <w:szCs w:val="20"/>
        </w:rPr>
        <w:t>fic</w:t>
      </w:r>
      <w:r>
        <w:rPr>
          <w:rFonts w:cs="Tahoma"/>
          <w:color w:val="000000" w:themeColor="text1"/>
          <w:sz w:val="20"/>
          <w:szCs w:val="20"/>
        </w:rPr>
        <w:t>ally designed for</w:t>
      </w:r>
      <w:r w:rsidR="00B45C06">
        <w:rPr>
          <w:rFonts w:cs="Tahoma"/>
          <w:color w:val="000000" w:themeColor="text1"/>
          <w:sz w:val="20"/>
          <w:szCs w:val="20"/>
        </w:rPr>
        <w:t xml:space="preserve"> </w:t>
      </w:r>
      <w:r>
        <w:rPr>
          <w:rFonts w:cs="Tahoma"/>
          <w:color w:val="000000" w:themeColor="text1"/>
          <w:sz w:val="20"/>
          <w:szCs w:val="20"/>
        </w:rPr>
        <w:t xml:space="preserve">nontraditional </w:t>
      </w:r>
      <w:r w:rsidR="00B45C06">
        <w:rPr>
          <w:rFonts w:cs="Tahoma"/>
          <w:color w:val="000000" w:themeColor="text1"/>
          <w:sz w:val="20"/>
          <w:szCs w:val="20"/>
        </w:rPr>
        <w:t>financial institutions</w:t>
      </w:r>
      <w:r>
        <w:rPr>
          <w:rFonts w:cs="Tahoma"/>
          <w:color w:val="000000" w:themeColor="text1"/>
          <w:sz w:val="20"/>
          <w:szCs w:val="20"/>
        </w:rPr>
        <w:t xml:space="preserve"> and mission-driven organizations. CRF’s loan servicing program is intended to let CDFIs focus their energy and talent on their core mission and their strengths of identifying and originating loans. </w:t>
      </w:r>
    </w:p>
    <w:p w:rsidR="00993B54" w:rsidRDefault="00993B54" w:rsidP="00BD3BC5">
      <w:pPr>
        <w:spacing w:before="120" w:after="0"/>
        <w:rPr>
          <w:rFonts w:cs="Tahoma"/>
          <w:color w:val="000000" w:themeColor="text1"/>
          <w:sz w:val="20"/>
          <w:szCs w:val="20"/>
        </w:rPr>
      </w:pPr>
      <w:r>
        <w:rPr>
          <w:rFonts w:cs="Tahoma"/>
          <w:color w:val="000000" w:themeColor="text1"/>
          <w:sz w:val="20"/>
          <w:szCs w:val="20"/>
        </w:rPr>
        <w:t xml:space="preserve">A CDFI can choose the specific loans to be serviced – the entire portfolio, a specific portion of the portfolio, or loans </w:t>
      </w:r>
      <w:r w:rsidR="00CE043A">
        <w:rPr>
          <w:rFonts w:cs="Tahoma"/>
          <w:color w:val="000000" w:themeColor="text1"/>
          <w:sz w:val="20"/>
          <w:szCs w:val="20"/>
        </w:rPr>
        <w:t xml:space="preserve">on a case-by-case basis </w:t>
      </w:r>
      <w:r>
        <w:rPr>
          <w:rFonts w:cs="Tahoma"/>
          <w:color w:val="000000" w:themeColor="text1"/>
          <w:sz w:val="20"/>
          <w:szCs w:val="20"/>
        </w:rPr>
        <w:t>as they originate. A</w:t>
      </w:r>
      <w:r w:rsidR="00BD3BC5">
        <w:rPr>
          <w:rFonts w:cs="Tahoma"/>
          <w:color w:val="000000" w:themeColor="text1"/>
          <w:sz w:val="20"/>
          <w:szCs w:val="20"/>
        </w:rPr>
        <w:t>ll</w:t>
      </w:r>
      <w:r>
        <w:rPr>
          <w:rFonts w:cs="Tahoma"/>
          <w:color w:val="000000" w:themeColor="text1"/>
          <w:sz w:val="20"/>
          <w:szCs w:val="20"/>
        </w:rPr>
        <w:t xml:space="preserve"> administrative, compliance, and repor</w:t>
      </w:r>
      <w:r w:rsidR="004708DC">
        <w:rPr>
          <w:rFonts w:cs="Tahoma"/>
          <w:color w:val="000000" w:themeColor="text1"/>
          <w:sz w:val="20"/>
          <w:szCs w:val="20"/>
        </w:rPr>
        <w:t>ting activities are included in</w:t>
      </w:r>
      <w:r>
        <w:rPr>
          <w:rFonts w:cs="Tahoma"/>
          <w:color w:val="000000" w:themeColor="text1"/>
          <w:sz w:val="20"/>
          <w:szCs w:val="20"/>
        </w:rPr>
        <w:t xml:space="preserve"> the </w:t>
      </w:r>
      <w:r w:rsidR="004708DC">
        <w:rPr>
          <w:rFonts w:cs="Tahoma"/>
          <w:color w:val="000000" w:themeColor="text1"/>
          <w:sz w:val="20"/>
          <w:szCs w:val="20"/>
        </w:rPr>
        <w:t>loan</w:t>
      </w:r>
      <w:r>
        <w:rPr>
          <w:rFonts w:cs="Tahoma"/>
          <w:color w:val="000000" w:themeColor="text1"/>
          <w:sz w:val="20"/>
          <w:szCs w:val="20"/>
        </w:rPr>
        <w:t xml:space="preserve"> </w:t>
      </w:r>
      <w:r w:rsidR="004708DC">
        <w:rPr>
          <w:rFonts w:cs="Tahoma"/>
          <w:color w:val="000000" w:themeColor="text1"/>
          <w:sz w:val="20"/>
          <w:szCs w:val="20"/>
        </w:rPr>
        <w:t>servicing</w:t>
      </w:r>
      <w:r>
        <w:rPr>
          <w:rFonts w:cs="Tahoma"/>
          <w:color w:val="000000" w:themeColor="text1"/>
          <w:sz w:val="20"/>
          <w:szCs w:val="20"/>
        </w:rPr>
        <w:t xml:space="preserve"> </w:t>
      </w:r>
      <w:r w:rsidR="004708DC">
        <w:rPr>
          <w:rFonts w:cs="Tahoma"/>
          <w:color w:val="000000" w:themeColor="text1"/>
          <w:sz w:val="20"/>
          <w:szCs w:val="20"/>
        </w:rPr>
        <w:t>program</w:t>
      </w:r>
      <w:r>
        <w:rPr>
          <w:rFonts w:cs="Tahoma"/>
          <w:color w:val="000000" w:themeColor="text1"/>
          <w:sz w:val="20"/>
          <w:szCs w:val="20"/>
        </w:rPr>
        <w:t>: monthly accounting and reconciliation, collections, reporting and communications, compliance, licensing, and IT systems.</w:t>
      </w:r>
      <w:r w:rsidR="004708DC">
        <w:rPr>
          <w:rFonts w:cs="Tahoma"/>
          <w:color w:val="000000" w:themeColor="text1"/>
          <w:sz w:val="20"/>
          <w:szCs w:val="20"/>
        </w:rPr>
        <w:t xml:space="preserve"> </w:t>
      </w:r>
      <w:r w:rsidR="002C196B">
        <w:rPr>
          <w:rFonts w:cs="Tahoma"/>
          <w:color w:val="000000" w:themeColor="text1"/>
          <w:sz w:val="20"/>
          <w:szCs w:val="20"/>
        </w:rPr>
        <w:t xml:space="preserve">The </w:t>
      </w:r>
      <w:r w:rsidR="004708DC">
        <w:rPr>
          <w:rFonts w:cs="Tahoma"/>
          <w:color w:val="000000" w:themeColor="text1"/>
          <w:sz w:val="20"/>
          <w:szCs w:val="20"/>
        </w:rPr>
        <w:t xml:space="preserve">CDFI has </w:t>
      </w:r>
      <w:r w:rsidR="000E4A24">
        <w:rPr>
          <w:rFonts w:cs="Tahoma"/>
          <w:color w:val="000000" w:themeColor="text1"/>
          <w:sz w:val="20"/>
          <w:szCs w:val="20"/>
        </w:rPr>
        <w:t xml:space="preserve">constant </w:t>
      </w:r>
      <w:r w:rsidR="004708DC">
        <w:rPr>
          <w:rFonts w:cs="Tahoma"/>
          <w:color w:val="000000" w:themeColor="text1"/>
          <w:sz w:val="20"/>
          <w:szCs w:val="20"/>
        </w:rPr>
        <w:t xml:space="preserve">access to a variety of reports through its own secure portal. The portal </w:t>
      </w:r>
      <w:r w:rsidR="00BD3BC5">
        <w:rPr>
          <w:rFonts w:cs="Tahoma"/>
          <w:color w:val="000000" w:themeColor="text1"/>
          <w:sz w:val="20"/>
          <w:szCs w:val="20"/>
        </w:rPr>
        <w:t>has</w:t>
      </w:r>
      <w:r w:rsidR="004708DC">
        <w:rPr>
          <w:rFonts w:cs="Tahoma"/>
          <w:color w:val="000000" w:themeColor="text1"/>
          <w:sz w:val="20"/>
          <w:szCs w:val="20"/>
        </w:rPr>
        <w:t xml:space="preserve"> seven standard reports showing current and historic monthly data</w:t>
      </w:r>
      <w:r w:rsidR="00F10E7D">
        <w:rPr>
          <w:rFonts w:cs="Tahoma"/>
          <w:color w:val="000000" w:themeColor="text1"/>
          <w:sz w:val="20"/>
          <w:szCs w:val="20"/>
        </w:rPr>
        <w:t xml:space="preserve"> along with</w:t>
      </w:r>
      <w:r w:rsidR="004708DC">
        <w:rPr>
          <w:rFonts w:cs="Tahoma"/>
          <w:color w:val="000000" w:themeColor="text1"/>
          <w:sz w:val="20"/>
          <w:szCs w:val="20"/>
        </w:rPr>
        <w:t xml:space="preserve"> real-time data on every loan</w:t>
      </w:r>
      <w:r w:rsidR="00F10E7D">
        <w:rPr>
          <w:rFonts w:cs="Tahoma"/>
          <w:color w:val="000000" w:themeColor="text1"/>
          <w:sz w:val="20"/>
          <w:szCs w:val="20"/>
        </w:rPr>
        <w:t>, amongst other capabilities</w:t>
      </w:r>
      <w:r w:rsidR="004708DC">
        <w:rPr>
          <w:rFonts w:cs="Tahoma"/>
          <w:color w:val="000000" w:themeColor="text1"/>
          <w:sz w:val="20"/>
          <w:szCs w:val="20"/>
        </w:rPr>
        <w:t>.</w:t>
      </w:r>
      <w:r>
        <w:rPr>
          <w:rFonts w:cs="Tahoma"/>
          <w:color w:val="000000" w:themeColor="text1"/>
          <w:sz w:val="20"/>
          <w:szCs w:val="20"/>
        </w:rPr>
        <w:t xml:space="preserve"> </w:t>
      </w:r>
    </w:p>
    <w:p w:rsidR="00C1701B" w:rsidRPr="00BD3BC5" w:rsidRDefault="00C1701B" w:rsidP="00BD3BC5">
      <w:pPr>
        <w:spacing w:before="0" w:after="0"/>
        <w:jc w:val="center"/>
        <w:rPr>
          <w:rFonts w:cs="Tahoma"/>
          <w:color w:val="17365D"/>
          <w:sz w:val="20"/>
          <w:szCs w:val="20"/>
        </w:rPr>
      </w:pPr>
    </w:p>
    <w:p w:rsidR="0002355D" w:rsidRPr="00BD3BC5" w:rsidRDefault="0002355D" w:rsidP="00BD3BC5">
      <w:pPr>
        <w:spacing w:before="0" w:after="0"/>
        <w:jc w:val="center"/>
        <w:rPr>
          <w:rFonts w:cs="Tahoma"/>
          <w:b/>
          <w:color w:val="17365D"/>
          <w:sz w:val="20"/>
          <w:szCs w:val="20"/>
        </w:rPr>
      </w:pPr>
    </w:p>
    <w:p w:rsidR="0002355D" w:rsidRPr="00046F4C" w:rsidRDefault="00C1701B" w:rsidP="00C92095">
      <w:pPr>
        <w:spacing w:before="0" w:after="0"/>
        <w:jc w:val="center"/>
        <w:rPr>
          <w:rFonts w:cs="Tahoma"/>
          <w:b/>
          <w:color w:val="174A7C"/>
          <w:szCs w:val="32"/>
        </w:rPr>
      </w:pPr>
      <w:r w:rsidRPr="00046F4C">
        <w:rPr>
          <w:rFonts w:cs="Tahoma"/>
          <w:b/>
          <w:color w:val="174A7C"/>
          <w:szCs w:val="32"/>
        </w:rPr>
        <w:t>Indian Land Capital</w:t>
      </w:r>
    </w:p>
    <w:p w:rsidR="0002355D" w:rsidRPr="00390488" w:rsidRDefault="0002355D" w:rsidP="0002355D">
      <w:pPr>
        <w:spacing w:before="0" w:after="0"/>
        <w:jc w:val="center"/>
        <w:rPr>
          <w:rFonts w:cs="Tahoma"/>
          <w:i/>
          <w:sz w:val="20"/>
        </w:rPr>
      </w:pPr>
    </w:p>
    <w:p w:rsidR="00C1701B" w:rsidRPr="00C1701B" w:rsidRDefault="00C1701B" w:rsidP="0002355D">
      <w:pPr>
        <w:tabs>
          <w:tab w:val="left" w:pos="6076"/>
        </w:tabs>
        <w:spacing w:after="0"/>
        <w:rPr>
          <w:rFonts w:cs="Tahoma"/>
          <w:i/>
          <w:sz w:val="20"/>
          <w:szCs w:val="20"/>
        </w:rPr>
      </w:pPr>
      <w:r w:rsidRPr="00C1701B">
        <w:rPr>
          <w:rFonts w:cs="Tahoma"/>
          <w:i/>
          <w:sz w:val="20"/>
          <w:szCs w:val="20"/>
        </w:rPr>
        <w:t xml:space="preserve">Indian Land Capital Company </w:t>
      </w:r>
      <w:r w:rsidR="002C196B">
        <w:rPr>
          <w:rFonts w:cs="Tahoma"/>
          <w:i/>
          <w:sz w:val="20"/>
          <w:szCs w:val="20"/>
        </w:rPr>
        <w:t>(</w:t>
      </w:r>
      <w:r w:rsidRPr="00C1701B">
        <w:rPr>
          <w:rFonts w:cs="Tahoma"/>
          <w:i/>
          <w:sz w:val="20"/>
          <w:szCs w:val="20"/>
        </w:rPr>
        <w:t>ILCC</w:t>
      </w:r>
      <w:r w:rsidR="002C196B">
        <w:rPr>
          <w:rFonts w:cs="Tahoma"/>
          <w:i/>
          <w:sz w:val="20"/>
          <w:szCs w:val="20"/>
        </w:rPr>
        <w:t>)</w:t>
      </w:r>
      <w:r w:rsidRPr="00C1701B">
        <w:rPr>
          <w:rFonts w:cs="Tahoma"/>
          <w:i/>
          <w:sz w:val="20"/>
          <w:szCs w:val="20"/>
        </w:rPr>
        <w:t xml:space="preserve"> is a certified Native </w:t>
      </w:r>
      <w:r w:rsidR="00B45C06">
        <w:rPr>
          <w:rFonts w:cs="Tahoma"/>
          <w:i/>
          <w:sz w:val="20"/>
          <w:szCs w:val="20"/>
        </w:rPr>
        <w:t>c</w:t>
      </w:r>
      <w:r w:rsidRPr="00C1701B">
        <w:rPr>
          <w:rFonts w:cs="Tahoma"/>
          <w:i/>
          <w:sz w:val="20"/>
          <w:szCs w:val="20"/>
        </w:rPr>
        <w:t xml:space="preserve">ommunity </w:t>
      </w:r>
      <w:r w:rsidR="00B45C06">
        <w:rPr>
          <w:rFonts w:cs="Tahoma"/>
          <w:i/>
          <w:sz w:val="20"/>
          <w:szCs w:val="20"/>
        </w:rPr>
        <w:t>d</w:t>
      </w:r>
      <w:r w:rsidRPr="00C1701B">
        <w:rPr>
          <w:rFonts w:cs="Tahoma"/>
          <w:i/>
          <w:sz w:val="20"/>
          <w:szCs w:val="20"/>
        </w:rPr>
        <w:t xml:space="preserve">evelopment </w:t>
      </w:r>
      <w:r w:rsidR="00B45C06">
        <w:rPr>
          <w:rFonts w:cs="Tahoma"/>
          <w:i/>
          <w:sz w:val="20"/>
          <w:szCs w:val="20"/>
        </w:rPr>
        <w:t>f</w:t>
      </w:r>
      <w:r w:rsidRPr="00C1701B">
        <w:rPr>
          <w:rFonts w:cs="Tahoma"/>
          <w:i/>
          <w:sz w:val="20"/>
          <w:szCs w:val="20"/>
        </w:rPr>
        <w:t xml:space="preserve">inancial </w:t>
      </w:r>
      <w:r w:rsidR="00B45C06">
        <w:rPr>
          <w:rFonts w:cs="Tahoma"/>
          <w:i/>
          <w:sz w:val="20"/>
          <w:szCs w:val="20"/>
        </w:rPr>
        <w:t>i</w:t>
      </w:r>
      <w:r w:rsidRPr="00C1701B">
        <w:rPr>
          <w:rFonts w:cs="Tahoma"/>
          <w:i/>
          <w:sz w:val="20"/>
          <w:szCs w:val="20"/>
        </w:rPr>
        <w:t>nstitution (CDFI) providing alternative loan options to Indian nations for tribal land acquisition. ILCC grew out of an identified need in Indian Country for financial mechanisms that offered full faith and credit lending options for tribal land purchases. Unlike traditional lending institutions, ILCC responds directly to the unique financial needs of Indian nations, and as a Native-run business, ILCC understands and supports tribal sovereignty and recognizes the importance of land to Indian people.</w:t>
      </w:r>
    </w:p>
    <w:p w:rsidR="00C1701B" w:rsidRPr="00C1701B" w:rsidRDefault="00C1701B" w:rsidP="00C1701B">
      <w:pPr>
        <w:tabs>
          <w:tab w:val="left" w:pos="6076"/>
        </w:tabs>
        <w:spacing w:before="120" w:after="0"/>
        <w:rPr>
          <w:rFonts w:cs="Tahoma"/>
          <w:i/>
          <w:sz w:val="20"/>
          <w:szCs w:val="20"/>
        </w:rPr>
      </w:pPr>
      <w:r w:rsidRPr="00C1701B">
        <w:rPr>
          <w:rFonts w:cs="Tahoma"/>
          <w:i/>
          <w:sz w:val="20"/>
          <w:szCs w:val="20"/>
        </w:rPr>
        <w:t>ILC’s mission is to help Indian nations recover, manage and gain jurisdiction over 90 million acres of alienated tribal land; to assist Indian nations in consolidating undivided interests in land with fractionated ownership; to eliminate “</w:t>
      </w:r>
      <w:proofErr w:type="spellStart"/>
      <w:r w:rsidRPr="00C1701B">
        <w:rPr>
          <w:rFonts w:cs="Tahoma"/>
          <w:i/>
          <w:sz w:val="20"/>
          <w:szCs w:val="20"/>
        </w:rPr>
        <w:t>checkerboarding</w:t>
      </w:r>
      <w:proofErr w:type="spellEnd"/>
      <w:r w:rsidRPr="00C1701B">
        <w:rPr>
          <w:rFonts w:cs="Tahoma"/>
          <w:i/>
          <w:sz w:val="20"/>
          <w:szCs w:val="20"/>
        </w:rPr>
        <w:t>” (mixed patterns of land ownership) on Indian reservations; and to strengthen tribal communities and sovereignty.</w:t>
      </w:r>
    </w:p>
    <w:p w:rsidR="0002355D" w:rsidRPr="00390488" w:rsidRDefault="0002355D" w:rsidP="00C1701B">
      <w:pPr>
        <w:tabs>
          <w:tab w:val="left" w:pos="6076"/>
        </w:tabs>
        <w:spacing w:before="0" w:after="0"/>
        <w:rPr>
          <w:rFonts w:cs="Tahoma"/>
          <w:color w:val="17365D"/>
          <w:sz w:val="20"/>
        </w:rPr>
      </w:pPr>
      <w:r>
        <w:rPr>
          <w:rFonts w:cs="Tahoma"/>
          <w:color w:val="17365D"/>
          <w:sz w:val="22"/>
        </w:rPr>
        <w:tab/>
      </w:r>
    </w:p>
    <w:p w:rsidR="0002355D" w:rsidRPr="00046F4C" w:rsidRDefault="0002355D" w:rsidP="00C1701B">
      <w:pPr>
        <w:spacing w:before="0" w:after="0"/>
        <w:jc w:val="center"/>
        <w:rPr>
          <w:rFonts w:cs="Tahoma"/>
          <w:b/>
          <w:color w:val="174A7C"/>
        </w:rPr>
      </w:pPr>
      <w:r w:rsidRPr="00046F4C">
        <w:rPr>
          <w:rFonts w:cs="Tahoma"/>
          <w:color w:val="174A7C"/>
        </w:rPr>
        <w:t xml:space="preserve">This case study demonstrates </w:t>
      </w:r>
      <w:r w:rsidRPr="00046F4C">
        <w:rPr>
          <w:rFonts w:cs="Tahoma"/>
          <w:b/>
          <w:color w:val="174A7C"/>
        </w:rPr>
        <w:t>the use of a shared service platform for growth.</w:t>
      </w:r>
    </w:p>
    <w:p w:rsidR="0002355D" w:rsidRPr="00390488" w:rsidRDefault="0002355D" w:rsidP="00C1701B">
      <w:pPr>
        <w:spacing w:before="0" w:after="0"/>
        <w:rPr>
          <w:rFonts w:cs="Tahoma"/>
          <w:b/>
          <w:color w:val="E46C0A"/>
          <w:sz w:val="22"/>
        </w:rPr>
      </w:pPr>
    </w:p>
    <w:p w:rsidR="0002355D" w:rsidRDefault="000536A4" w:rsidP="0002355D">
      <w:pPr>
        <w:spacing w:after="0"/>
        <w:rPr>
          <w:rFonts w:cs="Tahoma"/>
          <w:b/>
          <w:color w:val="F6A01A"/>
        </w:rPr>
      </w:pPr>
      <w:r>
        <w:rPr>
          <w:rFonts w:cs="Tahoma"/>
          <w:b/>
          <w:color w:val="F6A01A"/>
        </w:rPr>
        <w:t>Action</w:t>
      </w:r>
      <w:r w:rsidR="00096122">
        <w:rPr>
          <w:rFonts w:cs="Tahoma"/>
          <w:b/>
          <w:color w:val="F6A01A"/>
        </w:rPr>
        <w:t>:</w:t>
      </w:r>
    </w:p>
    <w:p w:rsidR="008251EE" w:rsidRDefault="002C196B" w:rsidP="002C196B">
      <w:pPr>
        <w:spacing w:after="0"/>
        <w:rPr>
          <w:rFonts w:cs="Tahoma"/>
          <w:color w:val="000000" w:themeColor="text1"/>
          <w:sz w:val="20"/>
        </w:rPr>
      </w:pPr>
      <w:r>
        <w:rPr>
          <w:rFonts w:cs="Tahoma"/>
          <w:color w:val="000000" w:themeColor="text1"/>
          <w:sz w:val="20"/>
        </w:rPr>
        <w:t xml:space="preserve">ILCC is a small </w:t>
      </w:r>
      <w:r w:rsidR="008B5C70">
        <w:rPr>
          <w:rFonts w:cs="Tahoma"/>
          <w:color w:val="000000" w:themeColor="text1"/>
          <w:sz w:val="20"/>
        </w:rPr>
        <w:t>N</w:t>
      </w:r>
      <w:r>
        <w:rPr>
          <w:rFonts w:cs="Tahoma"/>
          <w:color w:val="000000" w:themeColor="text1"/>
          <w:sz w:val="20"/>
        </w:rPr>
        <w:t xml:space="preserve">ative CDFI with only one employee. It makes low volume, high dollar loans to help Indians reclaim their land. </w:t>
      </w:r>
      <w:r w:rsidR="00110C5C">
        <w:rPr>
          <w:rFonts w:cs="Tahoma"/>
          <w:color w:val="000000" w:themeColor="text1"/>
          <w:sz w:val="20"/>
        </w:rPr>
        <w:t xml:space="preserve">After </w:t>
      </w:r>
      <w:r w:rsidR="00C42E43">
        <w:rPr>
          <w:rFonts w:cs="Tahoma"/>
          <w:color w:val="000000" w:themeColor="text1"/>
          <w:sz w:val="20"/>
        </w:rPr>
        <w:t>doing</w:t>
      </w:r>
      <w:r w:rsidR="00110C5C">
        <w:rPr>
          <w:rFonts w:cs="Tahoma"/>
          <w:color w:val="000000" w:themeColor="text1"/>
          <w:sz w:val="20"/>
        </w:rPr>
        <w:t xml:space="preserve"> its own loan servicing, </w:t>
      </w:r>
      <w:r>
        <w:rPr>
          <w:rFonts w:cs="Tahoma"/>
          <w:color w:val="000000" w:themeColor="text1"/>
          <w:sz w:val="20"/>
        </w:rPr>
        <w:t xml:space="preserve">ILCC </w:t>
      </w:r>
      <w:r w:rsidR="00110C5C">
        <w:rPr>
          <w:rFonts w:cs="Tahoma"/>
          <w:color w:val="000000" w:themeColor="text1"/>
          <w:sz w:val="20"/>
        </w:rPr>
        <w:t xml:space="preserve">chose to focus on its strength of origination and </w:t>
      </w:r>
      <w:r w:rsidR="00B45C06">
        <w:rPr>
          <w:rFonts w:cs="Tahoma"/>
          <w:color w:val="000000" w:themeColor="text1"/>
          <w:sz w:val="20"/>
        </w:rPr>
        <w:t>engaged</w:t>
      </w:r>
      <w:r>
        <w:rPr>
          <w:rFonts w:cs="Tahoma"/>
          <w:color w:val="000000" w:themeColor="text1"/>
          <w:sz w:val="20"/>
        </w:rPr>
        <w:t xml:space="preserve"> CRF </w:t>
      </w:r>
      <w:r w:rsidR="00110C5C">
        <w:rPr>
          <w:rFonts w:cs="Tahoma"/>
          <w:color w:val="000000" w:themeColor="text1"/>
          <w:sz w:val="20"/>
        </w:rPr>
        <w:t xml:space="preserve">to provide </w:t>
      </w:r>
      <w:r w:rsidR="00B45C06">
        <w:rPr>
          <w:rFonts w:cs="Tahoma"/>
          <w:color w:val="000000" w:themeColor="text1"/>
          <w:sz w:val="20"/>
        </w:rPr>
        <w:t>post-closing invoicing and collections,</w:t>
      </w:r>
      <w:r w:rsidR="00110C5C">
        <w:rPr>
          <w:rFonts w:cs="Tahoma"/>
          <w:color w:val="000000" w:themeColor="text1"/>
          <w:sz w:val="20"/>
        </w:rPr>
        <w:t xml:space="preserve"> and loan servicing support</w:t>
      </w:r>
      <w:r w:rsidR="00B45C06">
        <w:rPr>
          <w:rFonts w:cs="Tahoma"/>
          <w:color w:val="000000" w:themeColor="text1"/>
          <w:sz w:val="20"/>
        </w:rPr>
        <w:t xml:space="preserve"> (i.e., collection of financial statements)</w:t>
      </w:r>
      <w:r>
        <w:rPr>
          <w:rFonts w:cs="Tahoma"/>
          <w:color w:val="000000" w:themeColor="text1"/>
          <w:sz w:val="20"/>
        </w:rPr>
        <w:t xml:space="preserve">. </w:t>
      </w:r>
      <w:r w:rsidR="00390488">
        <w:rPr>
          <w:rFonts w:cs="Tahoma"/>
          <w:color w:val="000000" w:themeColor="text1"/>
          <w:sz w:val="20"/>
        </w:rPr>
        <w:t>The contract between CRF and ILCC still ke</w:t>
      </w:r>
      <w:r w:rsidR="00C42E43">
        <w:rPr>
          <w:rFonts w:cs="Tahoma"/>
          <w:color w:val="000000" w:themeColor="text1"/>
          <w:sz w:val="20"/>
        </w:rPr>
        <w:t>eps</w:t>
      </w:r>
      <w:r w:rsidR="00390488">
        <w:rPr>
          <w:rFonts w:cs="Tahoma"/>
          <w:color w:val="000000" w:themeColor="text1"/>
          <w:sz w:val="20"/>
        </w:rPr>
        <w:t xml:space="preserve"> some functions with ILCC so that it </w:t>
      </w:r>
      <w:r w:rsidR="00C42E43">
        <w:rPr>
          <w:rFonts w:cs="Tahoma"/>
          <w:color w:val="000000" w:themeColor="text1"/>
          <w:sz w:val="20"/>
        </w:rPr>
        <w:t>can</w:t>
      </w:r>
      <w:r w:rsidR="00390488">
        <w:rPr>
          <w:rFonts w:cs="Tahoma"/>
          <w:color w:val="000000" w:themeColor="text1"/>
          <w:sz w:val="20"/>
        </w:rPr>
        <w:t xml:space="preserve"> maintain its personal relationship with its borrowers</w:t>
      </w:r>
      <w:r w:rsidR="00C42E43">
        <w:rPr>
          <w:rFonts w:cs="Tahoma"/>
          <w:color w:val="000000" w:themeColor="text1"/>
          <w:sz w:val="20"/>
        </w:rPr>
        <w:t xml:space="preserve"> during the loan servicing stage of the lending life cycle</w:t>
      </w:r>
      <w:r w:rsidR="00390488">
        <w:rPr>
          <w:rFonts w:cs="Tahoma"/>
          <w:color w:val="000000" w:themeColor="text1"/>
          <w:sz w:val="20"/>
        </w:rPr>
        <w:t xml:space="preserve">. </w:t>
      </w:r>
      <w:r>
        <w:rPr>
          <w:rFonts w:cs="Tahoma"/>
          <w:color w:val="000000" w:themeColor="text1"/>
          <w:sz w:val="20"/>
        </w:rPr>
        <w:t>The</w:t>
      </w:r>
      <w:r w:rsidR="00390488">
        <w:rPr>
          <w:rFonts w:cs="Tahoma"/>
          <w:color w:val="000000" w:themeColor="text1"/>
          <w:sz w:val="20"/>
        </w:rPr>
        <w:t xml:space="preserve"> president of ILCC monitors the reports created by CRF closely and has chosen to keep the responsibility of contacting troubled loan borrowers within </w:t>
      </w:r>
      <w:r w:rsidR="00326952">
        <w:rPr>
          <w:rFonts w:cs="Tahoma"/>
          <w:color w:val="000000" w:themeColor="text1"/>
          <w:sz w:val="20"/>
        </w:rPr>
        <w:t>ILCC</w:t>
      </w:r>
      <w:r w:rsidR="00390488">
        <w:rPr>
          <w:rFonts w:cs="Tahoma"/>
          <w:color w:val="000000" w:themeColor="text1"/>
          <w:sz w:val="20"/>
        </w:rPr>
        <w:t xml:space="preserve">. </w:t>
      </w:r>
      <w:r>
        <w:rPr>
          <w:rFonts w:cs="Tahoma"/>
          <w:color w:val="000000" w:themeColor="text1"/>
          <w:sz w:val="20"/>
        </w:rPr>
        <w:t xml:space="preserve"> </w:t>
      </w:r>
    </w:p>
    <w:p w:rsidR="00390488" w:rsidRPr="002C196B" w:rsidRDefault="00390488" w:rsidP="002C196B">
      <w:pPr>
        <w:spacing w:after="0"/>
        <w:rPr>
          <w:rFonts w:cs="Tahoma"/>
          <w:color w:val="000000" w:themeColor="text1"/>
          <w:sz w:val="20"/>
        </w:rPr>
      </w:pPr>
    </w:p>
    <w:p w:rsidR="00CE043A" w:rsidRDefault="00CE043A" w:rsidP="0002355D">
      <w:pPr>
        <w:spacing w:after="0"/>
        <w:rPr>
          <w:rFonts w:cs="Tahoma"/>
          <w:b/>
          <w:color w:val="F6A01A"/>
        </w:rPr>
      </w:pPr>
    </w:p>
    <w:p w:rsidR="0002355D" w:rsidRPr="000536A4" w:rsidRDefault="000536A4" w:rsidP="0002355D">
      <w:pPr>
        <w:spacing w:after="0"/>
        <w:rPr>
          <w:rFonts w:cs="Tahoma"/>
          <w:b/>
          <w:color w:val="F6A01A"/>
        </w:rPr>
      </w:pPr>
      <w:r w:rsidRPr="000536A4">
        <w:rPr>
          <w:rFonts w:cs="Tahoma"/>
          <w:b/>
          <w:color w:val="F6A01A"/>
        </w:rPr>
        <w:lastRenderedPageBreak/>
        <w:t>Process</w:t>
      </w:r>
      <w:r w:rsidR="0002355D" w:rsidRPr="000536A4">
        <w:rPr>
          <w:rFonts w:cs="Tahoma"/>
          <w:b/>
          <w:color w:val="F6A01A"/>
        </w:rPr>
        <w:t>:</w:t>
      </w:r>
    </w:p>
    <w:p w:rsidR="003A3505" w:rsidRPr="002B4925" w:rsidRDefault="002B4925" w:rsidP="003A3505">
      <w:pPr>
        <w:pStyle w:val="ListParagraph"/>
        <w:numPr>
          <w:ilvl w:val="0"/>
          <w:numId w:val="23"/>
        </w:numPr>
        <w:spacing w:after="0"/>
        <w:rPr>
          <w:rFonts w:ascii="Tahoma" w:hAnsi="Tahoma" w:cs="Tahoma"/>
          <w:sz w:val="20"/>
        </w:rPr>
      </w:pPr>
      <w:r w:rsidRPr="002B4925">
        <w:rPr>
          <w:rFonts w:ascii="Tahoma" w:hAnsi="Tahoma" w:cs="Tahoma"/>
          <w:sz w:val="20"/>
          <w:szCs w:val="20"/>
        </w:rPr>
        <w:t>CRF</w:t>
      </w:r>
      <w:r w:rsidR="00326952">
        <w:rPr>
          <w:rFonts w:ascii="Tahoma" w:hAnsi="Tahoma" w:cs="Tahoma"/>
          <w:sz w:val="20"/>
          <w:szCs w:val="20"/>
        </w:rPr>
        <w:t>’s client portal</w:t>
      </w:r>
      <w:r w:rsidRPr="002B4925">
        <w:rPr>
          <w:rFonts w:ascii="Tahoma" w:hAnsi="Tahoma" w:cs="Tahoma"/>
          <w:sz w:val="20"/>
          <w:szCs w:val="20"/>
        </w:rPr>
        <w:t xml:space="preserve"> allow</w:t>
      </w:r>
      <w:r w:rsidR="00326952">
        <w:rPr>
          <w:rFonts w:ascii="Tahoma" w:hAnsi="Tahoma" w:cs="Tahoma"/>
          <w:sz w:val="20"/>
          <w:szCs w:val="20"/>
        </w:rPr>
        <w:t>s</w:t>
      </w:r>
      <w:r w:rsidRPr="002B4925">
        <w:rPr>
          <w:rFonts w:ascii="Tahoma" w:hAnsi="Tahoma" w:cs="Tahoma"/>
          <w:sz w:val="20"/>
          <w:szCs w:val="20"/>
        </w:rPr>
        <w:t xml:space="preserve"> </w:t>
      </w:r>
      <w:r w:rsidR="00326952">
        <w:rPr>
          <w:rFonts w:ascii="Tahoma" w:hAnsi="Tahoma" w:cs="Tahoma"/>
          <w:sz w:val="20"/>
          <w:szCs w:val="20"/>
        </w:rPr>
        <w:t xml:space="preserve">ILCC </w:t>
      </w:r>
      <w:r w:rsidRPr="002B4925">
        <w:rPr>
          <w:rFonts w:ascii="Tahoma" w:hAnsi="Tahoma" w:cs="Tahoma"/>
          <w:sz w:val="20"/>
          <w:szCs w:val="20"/>
        </w:rPr>
        <w:t xml:space="preserve">to access </w:t>
      </w:r>
      <w:r w:rsidR="00326952">
        <w:rPr>
          <w:rFonts w:ascii="Tahoma" w:hAnsi="Tahoma" w:cs="Tahoma"/>
          <w:sz w:val="20"/>
          <w:szCs w:val="20"/>
        </w:rPr>
        <w:t xml:space="preserve">loan </w:t>
      </w:r>
      <w:r w:rsidRPr="002B4925">
        <w:rPr>
          <w:rFonts w:ascii="Tahoma" w:hAnsi="Tahoma" w:cs="Tahoma"/>
          <w:sz w:val="20"/>
          <w:szCs w:val="20"/>
        </w:rPr>
        <w:t xml:space="preserve">activity and reporting. </w:t>
      </w:r>
      <w:r w:rsidR="00390488" w:rsidRPr="002B4925">
        <w:rPr>
          <w:rFonts w:ascii="Tahoma" w:hAnsi="Tahoma" w:cs="Tahoma"/>
          <w:sz w:val="20"/>
        </w:rPr>
        <w:t>The president</w:t>
      </w:r>
      <w:r w:rsidR="00326952">
        <w:rPr>
          <w:rFonts w:ascii="Tahoma" w:hAnsi="Tahoma" w:cs="Tahoma"/>
          <w:sz w:val="20"/>
        </w:rPr>
        <w:t xml:space="preserve"> of ILCC</w:t>
      </w:r>
      <w:r w:rsidR="003A3505" w:rsidRPr="002B4925">
        <w:rPr>
          <w:rFonts w:ascii="Tahoma" w:hAnsi="Tahoma" w:cs="Tahoma"/>
          <w:sz w:val="20"/>
        </w:rPr>
        <w:t xml:space="preserve"> monitors</w:t>
      </w:r>
      <w:r>
        <w:rPr>
          <w:rFonts w:ascii="Tahoma" w:hAnsi="Tahoma" w:cs="Tahoma"/>
          <w:sz w:val="20"/>
        </w:rPr>
        <w:t xml:space="preserve"> these</w:t>
      </w:r>
      <w:r w:rsidR="003A3505" w:rsidRPr="002B4925">
        <w:rPr>
          <w:rFonts w:ascii="Tahoma" w:hAnsi="Tahoma" w:cs="Tahoma"/>
          <w:sz w:val="20"/>
        </w:rPr>
        <w:t xml:space="preserve"> loan portfolio reports from CRF closely so that he can immediately follow up with borrowers if there is a delinquency. </w:t>
      </w:r>
    </w:p>
    <w:p w:rsidR="00C42E43" w:rsidRPr="00390488" w:rsidRDefault="00326952" w:rsidP="003A3505">
      <w:pPr>
        <w:pStyle w:val="ListParagraph"/>
        <w:numPr>
          <w:ilvl w:val="0"/>
          <w:numId w:val="23"/>
        </w:numPr>
        <w:spacing w:after="0"/>
        <w:rPr>
          <w:rFonts w:ascii="Tahoma" w:hAnsi="Tahoma" w:cs="Tahoma"/>
          <w:sz w:val="20"/>
        </w:rPr>
      </w:pPr>
      <w:r>
        <w:rPr>
          <w:rFonts w:ascii="Tahoma" w:hAnsi="Tahoma" w:cs="Tahoma"/>
          <w:sz w:val="20"/>
        </w:rPr>
        <w:t>ILCC</w:t>
      </w:r>
      <w:r w:rsidR="00C42E43" w:rsidRPr="00C42E43">
        <w:rPr>
          <w:rFonts w:ascii="Tahoma" w:hAnsi="Tahoma" w:cs="Tahoma"/>
          <w:sz w:val="20"/>
        </w:rPr>
        <w:t xml:space="preserve"> can choose which steps of the process </w:t>
      </w:r>
      <w:r>
        <w:rPr>
          <w:rFonts w:ascii="Tahoma" w:hAnsi="Tahoma" w:cs="Tahoma"/>
          <w:sz w:val="20"/>
        </w:rPr>
        <w:t>to</w:t>
      </w:r>
      <w:r w:rsidRPr="00C42E43">
        <w:rPr>
          <w:rFonts w:ascii="Tahoma" w:hAnsi="Tahoma" w:cs="Tahoma"/>
          <w:sz w:val="20"/>
        </w:rPr>
        <w:t xml:space="preserve"> </w:t>
      </w:r>
      <w:r w:rsidR="00C42E43" w:rsidRPr="00C42E43">
        <w:rPr>
          <w:rFonts w:ascii="Tahoma" w:hAnsi="Tahoma" w:cs="Tahoma"/>
          <w:sz w:val="20"/>
        </w:rPr>
        <w:t>outsource to CRF from a menu of available activities as well as decide what portion of its loan portfolio will be serviced by CRF.</w:t>
      </w:r>
    </w:p>
    <w:p w:rsidR="00D274A4" w:rsidRPr="00390488" w:rsidRDefault="00555380" w:rsidP="0002355D">
      <w:pPr>
        <w:pStyle w:val="ListParagraph"/>
        <w:numPr>
          <w:ilvl w:val="0"/>
          <w:numId w:val="23"/>
        </w:numPr>
        <w:spacing w:after="0"/>
        <w:rPr>
          <w:rFonts w:cs="Tahoma"/>
          <w:b/>
          <w:color w:val="000000" w:themeColor="text1"/>
          <w:sz w:val="20"/>
        </w:rPr>
      </w:pPr>
      <w:r>
        <w:rPr>
          <w:rFonts w:ascii="Tahoma" w:hAnsi="Tahoma" w:cs="Tahoma"/>
          <w:color w:val="000000" w:themeColor="text1"/>
          <w:sz w:val="20"/>
        </w:rPr>
        <w:t xml:space="preserve">ILCC </w:t>
      </w:r>
      <w:r w:rsidR="00AA0F20">
        <w:rPr>
          <w:rFonts w:ascii="Tahoma" w:hAnsi="Tahoma" w:cs="Tahoma"/>
          <w:color w:val="000000" w:themeColor="text1"/>
          <w:sz w:val="20"/>
        </w:rPr>
        <w:t xml:space="preserve">initially serviced their own loans, but as they grew realized it was more efficient to </w:t>
      </w:r>
      <w:r w:rsidR="00C42E43">
        <w:rPr>
          <w:rFonts w:ascii="Tahoma" w:hAnsi="Tahoma" w:cs="Tahoma"/>
          <w:color w:val="000000" w:themeColor="text1"/>
          <w:sz w:val="20"/>
        </w:rPr>
        <w:t>outsource these functions to</w:t>
      </w:r>
      <w:r w:rsidR="00110C5C" w:rsidRPr="00390488">
        <w:rPr>
          <w:rFonts w:ascii="Tahoma" w:hAnsi="Tahoma" w:cs="Tahoma"/>
          <w:color w:val="000000" w:themeColor="text1"/>
          <w:sz w:val="20"/>
        </w:rPr>
        <w:t xml:space="preserve"> </w:t>
      </w:r>
      <w:r>
        <w:rPr>
          <w:rFonts w:ascii="Tahoma" w:hAnsi="Tahoma" w:cs="Tahoma"/>
          <w:color w:val="000000" w:themeColor="text1"/>
          <w:sz w:val="20"/>
        </w:rPr>
        <w:t>CRF</w:t>
      </w:r>
      <w:r w:rsidR="00341438">
        <w:rPr>
          <w:rFonts w:ascii="Tahoma" w:hAnsi="Tahoma" w:cs="Tahoma"/>
          <w:color w:val="000000" w:themeColor="text1"/>
          <w:sz w:val="20"/>
        </w:rPr>
        <w:t>.</w:t>
      </w:r>
      <w:r w:rsidR="00AA0F20">
        <w:rPr>
          <w:rFonts w:ascii="Tahoma" w:hAnsi="Tahoma" w:cs="Tahoma"/>
          <w:color w:val="000000" w:themeColor="text1"/>
          <w:sz w:val="20"/>
        </w:rPr>
        <w:t xml:space="preserve"> This outsourcing was necessary due to their small staff size.</w:t>
      </w:r>
    </w:p>
    <w:p w:rsidR="00D274A4" w:rsidRDefault="00D274A4" w:rsidP="0002355D">
      <w:pPr>
        <w:spacing w:after="0"/>
        <w:rPr>
          <w:rFonts w:cs="Tahoma"/>
          <w:b/>
          <w:color w:val="F6A01A"/>
        </w:rPr>
      </w:pPr>
    </w:p>
    <w:p w:rsidR="0002355D" w:rsidRPr="000536A4" w:rsidRDefault="0002355D" w:rsidP="0002355D">
      <w:pPr>
        <w:spacing w:after="0"/>
        <w:rPr>
          <w:rFonts w:cs="Tahoma"/>
          <w:b/>
          <w:color w:val="F6A01A"/>
        </w:rPr>
      </w:pPr>
      <w:r w:rsidRPr="000536A4">
        <w:rPr>
          <w:rFonts w:cs="Tahoma"/>
          <w:b/>
          <w:color w:val="F6A01A"/>
        </w:rPr>
        <w:t>Outcomes:</w:t>
      </w:r>
    </w:p>
    <w:p w:rsidR="000E4A24" w:rsidRDefault="000E4A24" w:rsidP="000E4A24">
      <w:pPr>
        <w:pStyle w:val="ListParagraph"/>
        <w:numPr>
          <w:ilvl w:val="0"/>
          <w:numId w:val="23"/>
        </w:numPr>
        <w:spacing w:after="0"/>
        <w:rPr>
          <w:rFonts w:ascii="Tahoma" w:hAnsi="Tahoma" w:cs="Tahoma"/>
          <w:sz w:val="20"/>
        </w:rPr>
      </w:pPr>
      <w:r w:rsidRPr="00390488">
        <w:rPr>
          <w:rFonts w:ascii="Tahoma" w:hAnsi="Tahoma" w:cs="Tahoma"/>
          <w:sz w:val="20"/>
        </w:rPr>
        <w:t xml:space="preserve">Contract loan servicing is less expensive for </w:t>
      </w:r>
      <w:r>
        <w:rPr>
          <w:rFonts w:ascii="Tahoma" w:hAnsi="Tahoma" w:cs="Tahoma"/>
          <w:sz w:val="20"/>
        </w:rPr>
        <w:t>ILCC</w:t>
      </w:r>
      <w:r w:rsidRPr="00390488">
        <w:rPr>
          <w:rFonts w:ascii="Tahoma" w:hAnsi="Tahoma" w:cs="Tahoma"/>
          <w:sz w:val="20"/>
        </w:rPr>
        <w:t xml:space="preserve"> than hiring an additional staff person. </w:t>
      </w:r>
    </w:p>
    <w:p w:rsidR="00110C5C" w:rsidRPr="00B45C06" w:rsidRDefault="00555380" w:rsidP="00D274A4">
      <w:pPr>
        <w:pStyle w:val="ListParagraph"/>
        <w:numPr>
          <w:ilvl w:val="0"/>
          <w:numId w:val="23"/>
        </w:numPr>
        <w:spacing w:after="0"/>
        <w:rPr>
          <w:rFonts w:ascii="Tahoma" w:hAnsi="Tahoma" w:cs="Tahoma"/>
          <w:sz w:val="20"/>
          <w:szCs w:val="20"/>
        </w:rPr>
      </w:pPr>
      <w:r w:rsidRPr="00B45C06">
        <w:rPr>
          <w:rFonts w:ascii="Tahoma" w:hAnsi="Tahoma" w:cs="Tahoma"/>
          <w:sz w:val="20"/>
          <w:szCs w:val="20"/>
        </w:rPr>
        <w:t>ILCC</w:t>
      </w:r>
      <w:r w:rsidR="00AA0F20">
        <w:rPr>
          <w:rFonts w:ascii="Tahoma" w:hAnsi="Tahoma" w:cs="Tahoma"/>
          <w:sz w:val="20"/>
          <w:szCs w:val="20"/>
        </w:rPr>
        <w:t>’s</w:t>
      </w:r>
      <w:r w:rsidRPr="00B45C06">
        <w:rPr>
          <w:rFonts w:ascii="Tahoma" w:hAnsi="Tahoma" w:cs="Tahoma"/>
          <w:sz w:val="20"/>
          <w:szCs w:val="20"/>
        </w:rPr>
        <w:t xml:space="preserve"> relationship with </w:t>
      </w:r>
      <w:r w:rsidR="00CD236E">
        <w:rPr>
          <w:rFonts w:ascii="Tahoma" w:hAnsi="Tahoma" w:cs="Tahoma"/>
          <w:sz w:val="20"/>
          <w:szCs w:val="20"/>
        </w:rPr>
        <w:t xml:space="preserve">its </w:t>
      </w:r>
      <w:r w:rsidR="00341438">
        <w:rPr>
          <w:rFonts w:ascii="Tahoma" w:hAnsi="Tahoma" w:cs="Tahoma"/>
          <w:sz w:val="20"/>
          <w:szCs w:val="20"/>
        </w:rPr>
        <w:t>Native tribe</w:t>
      </w:r>
      <w:r w:rsidR="00CD236E">
        <w:rPr>
          <w:rFonts w:ascii="Tahoma" w:hAnsi="Tahoma" w:cs="Tahoma"/>
          <w:sz w:val="20"/>
          <w:szCs w:val="20"/>
        </w:rPr>
        <w:t xml:space="preserve"> client</w:t>
      </w:r>
      <w:r w:rsidR="00341438">
        <w:rPr>
          <w:rFonts w:ascii="Tahoma" w:hAnsi="Tahoma" w:cs="Tahoma"/>
          <w:sz w:val="20"/>
          <w:szCs w:val="20"/>
        </w:rPr>
        <w:t>s are key to its impact as a CDFI</w:t>
      </w:r>
      <w:r w:rsidRPr="00B45C06">
        <w:rPr>
          <w:rFonts w:ascii="Tahoma" w:hAnsi="Tahoma" w:cs="Tahoma"/>
          <w:sz w:val="20"/>
          <w:szCs w:val="20"/>
        </w:rPr>
        <w:t xml:space="preserve">; </w:t>
      </w:r>
      <w:r w:rsidR="00341438">
        <w:rPr>
          <w:rFonts w:ascii="Tahoma" w:hAnsi="Tahoma" w:cs="Tahoma"/>
          <w:sz w:val="20"/>
          <w:szCs w:val="20"/>
        </w:rPr>
        <w:t xml:space="preserve">therefore, outsourcing </w:t>
      </w:r>
      <w:r w:rsidR="00AA0F20">
        <w:rPr>
          <w:rFonts w:ascii="Tahoma" w:hAnsi="Tahoma" w:cs="Tahoma"/>
          <w:sz w:val="20"/>
          <w:szCs w:val="20"/>
        </w:rPr>
        <w:t>loan servicing</w:t>
      </w:r>
      <w:r w:rsidR="00341438">
        <w:rPr>
          <w:rFonts w:ascii="Tahoma" w:hAnsi="Tahoma" w:cs="Tahoma"/>
          <w:sz w:val="20"/>
          <w:szCs w:val="20"/>
        </w:rPr>
        <w:t xml:space="preserve">, </w:t>
      </w:r>
      <w:r w:rsidRPr="00B45C06">
        <w:rPr>
          <w:rFonts w:ascii="Tahoma" w:hAnsi="Tahoma" w:cs="Tahoma"/>
          <w:sz w:val="20"/>
          <w:szCs w:val="20"/>
        </w:rPr>
        <w:t xml:space="preserve">allows ILCC </w:t>
      </w:r>
      <w:r w:rsidR="00B45C06" w:rsidRPr="00B45C06">
        <w:rPr>
          <w:rFonts w:ascii="Tahoma" w:hAnsi="Tahoma" w:cs="Tahoma"/>
          <w:sz w:val="20"/>
          <w:szCs w:val="20"/>
        </w:rPr>
        <w:t xml:space="preserve">to focus on </w:t>
      </w:r>
      <w:r w:rsidR="00AA0F20">
        <w:rPr>
          <w:rFonts w:ascii="Tahoma" w:hAnsi="Tahoma" w:cs="Tahoma"/>
          <w:sz w:val="20"/>
          <w:szCs w:val="20"/>
        </w:rPr>
        <w:t xml:space="preserve">loan </w:t>
      </w:r>
      <w:r w:rsidR="00B45C06" w:rsidRPr="00B45C06">
        <w:rPr>
          <w:rFonts w:ascii="Tahoma" w:hAnsi="Tahoma" w:cs="Tahoma"/>
          <w:sz w:val="20"/>
          <w:szCs w:val="20"/>
        </w:rPr>
        <w:t>sourcing and originating, which is the core competenc</w:t>
      </w:r>
      <w:r w:rsidR="00AA0F20">
        <w:rPr>
          <w:rFonts w:ascii="Tahoma" w:hAnsi="Tahoma" w:cs="Tahoma"/>
          <w:sz w:val="20"/>
          <w:szCs w:val="20"/>
        </w:rPr>
        <w:t>y</w:t>
      </w:r>
      <w:r w:rsidR="00B45C06" w:rsidRPr="00B45C06">
        <w:rPr>
          <w:rFonts w:ascii="Tahoma" w:hAnsi="Tahoma" w:cs="Tahoma"/>
          <w:sz w:val="20"/>
          <w:szCs w:val="20"/>
        </w:rPr>
        <w:t xml:space="preserve"> of the organization.</w:t>
      </w:r>
    </w:p>
    <w:p w:rsidR="00DF3AB5" w:rsidRPr="002B4925" w:rsidRDefault="00555380" w:rsidP="00D274A4">
      <w:pPr>
        <w:pStyle w:val="ListParagraph"/>
        <w:numPr>
          <w:ilvl w:val="0"/>
          <w:numId w:val="23"/>
        </w:numPr>
        <w:spacing w:after="0"/>
        <w:rPr>
          <w:rFonts w:cs="Tahoma"/>
          <w:sz w:val="20"/>
          <w:szCs w:val="20"/>
        </w:rPr>
      </w:pPr>
      <w:r w:rsidRPr="00B45C06">
        <w:rPr>
          <w:rFonts w:ascii="Tahoma" w:hAnsi="Tahoma" w:cs="Tahoma"/>
          <w:sz w:val="20"/>
          <w:szCs w:val="20"/>
        </w:rPr>
        <w:t xml:space="preserve">Due to ILCC’s close relationships with its borrowers, it chose to keep the responsibility of contacting delinquent borrowers </w:t>
      </w:r>
      <w:r w:rsidR="00341438">
        <w:rPr>
          <w:rFonts w:ascii="Tahoma" w:hAnsi="Tahoma" w:cs="Tahoma"/>
          <w:sz w:val="20"/>
          <w:szCs w:val="20"/>
        </w:rPr>
        <w:t>after identifying</w:t>
      </w:r>
      <w:r w:rsidRPr="00B45C06">
        <w:rPr>
          <w:rFonts w:ascii="Tahoma" w:hAnsi="Tahoma" w:cs="Tahoma"/>
          <w:sz w:val="20"/>
          <w:szCs w:val="20"/>
        </w:rPr>
        <w:t xml:space="preserve"> issues on the monthly loan portfolio report produced by CRF. </w:t>
      </w:r>
      <w:r w:rsidR="00014177">
        <w:rPr>
          <w:rFonts w:ascii="Tahoma" w:hAnsi="Tahoma" w:cs="Tahoma"/>
          <w:sz w:val="20"/>
          <w:szCs w:val="20"/>
        </w:rPr>
        <w:t>S</w:t>
      </w:r>
      <w:r w:rsidR="00341438">
        <w:rPr>
          <w:rFonts w:ascii="Tahoma" w:hAnsi="Tahoma" w:cs="Tahoma"/>
          <w:sz w:val="20"/>
          <w:szCs w:val="20"/>
        </w:rPr>
        <w:t>ome</w:t>
      </w:r>
      <w:r w:rsidRPr="00B45C06">
        <w:rPr>
          <w:rFonts w:ascii="Tahoma" w:hAnsi="Tahoma" w:cs="Tahoma"/>
          <w:sz w:val="20"/>
          <w:szCs w:val="20"/>
        </w:rPr>
        <w:t xml:space="preserve"> organizations</w:t>
      </w:r>
      <w:r w:rsidR="00014177">
        <w:rPr>
          <w:rFonts w:ascii="Tahoma" w:hAnsi="Tahoma" w:cs="Tahoma"/>
          <w:sz w:val="20"/>
          <w:szCs w:val="20"/>
        </w:rPr>
        <w:t xml:space="preserve"> p</w:t>
      </w:r>
      <w:r w:rsidR="00341438">
        <w:rPr>
          <w:rFonts w:ascii="Tahoma" w:hAnsi="Tahoma" w:cs="Tahoma"/>
          <w:sz w:val="20"/>
          <w:szCs w:val="20"/>
        </w:rPr>
        <w:t>refer that</w:t>
      </w:r>
      <w:r w:rsidRPr="00B45C06">
        <w:rPr>
          <w:rFonts w:ascii="Tahoma" w:hAnsi="Tahoma" w:cs="Tahoma"/>
          <w:sz w:val="20"/>
          <w:szCs w:val="20"/>
        </w:rPr>
        <w:t xml:space="preserve"> CRF handles all contact with delinquent borrowers. </w:t>
      </w:r>
      <w:r w:rsidR="00110C5C" w:rsidRPr="00B45C06">
        <w:rPr>
          <w:rFonts w:ascii="Tahoma" w:hAnsi="Tahoma" w:cs="Tahoma"/>
          <w:sz w:val="20"/>
          <w:szCs w:val="20"/>
        </w:rPr>
        <w:t xml:space="preserve">With CRF as the servicer, </w:t>
      </w:r>
      <w:r w:rsidR="00C42E43" w:rsidRPr="00B45C06">
        <w:rPr>
          <w:rFonts w:ascii="Tahoma" w:hAnsi="Tahoma" w:cs="Tahoma"/>
          <w:sz w:val="20"/>
          <w:szCs w:val="20"/>
        </w:rPr>
        <w:t>it</w:t>
      </w:r>
      <w:r w:rsidR="00110C5C" w:rsidRPr="00B45C06">
        <w:rPr>
          <w:rFonts w:ascii="Tahoma" w:hAnsi="Tahoma" w:cs="Tahoma"/>
          <w:sz w:val="20"/>
          <w:szCs w:val="20"/>
        </w:rPr>
        <w:t xml:space="preserve"> is likely to </w:t>
      </w:r>
      <w:r w:rsidR="00C42E43" w:rsidRPr="00B45C06">
        <w:rPr>
          <w:rFonts w:ascii="Tahoma" w:hAnsi="Tahoma" w:cs="Tahoma"/>
          <w:sz w:val="20"/>
          <w:szCs w:val="20"/>
        </w:rPr>
        <w:t>intervene</w:t>
      </w:r>
      <w:r w:rsidR="00110C5C" w:rsidRPr="00B45C06">
        <w:rPr>
          <w:rFonts w:ascii="Tahoma" w:hAnsi="Tahoma" w:cs="Tahoma"/>
          <w:sz w:val="20"/>
          <w:szCs w:val="20"/>
        </w:rPr>
        <w:t xml:space="preserve"> </w:t>
      </w:r>
      <w:r w:rsidRPr="00B45C06">
        <w:rPr>
          <w:rFonts w:ascii="Tahoma" w:hAnsi="Tahoma" w:cs="Tahoma"/>
          <w:sz w:val="20"/>
          <w:szCs w:val="20"/>
        </w:rPr>
        <w:t xml:space="preserve">early </w:t>
      </w:r>
      <w:r w:rsidR="00014177">
        <w:rPr>
          <w:rFonts w:ascii="Tahoma" w:hAnsi="Tahoma" w:cs="Tahoma"/>
          <w:sz w:val="20"/>
          <w:szCs w:val="20"/>
        </w:rPr>
        <w:t xml:space="preserve">when </w:t>
      </w:r>
      <w:r w:rsidR="00CE043A">
        <w:rPr>
          <w:rFonts w:ascii="Tahoma" w:hAnsi="Tahoma" w:cs="Tahoma"/>
          <w:sz w:val="20"/>
          <w:szCs w:val="20"/>
        </w:rPr>
        <w:t>a missed payment</w:t>
      </w:r>
      <w:r w:rsidR="00014177">
        <w:rPr>
          <w:rFonts w:ascii="Tahoma" w:hAnsi="Tahoma" w:cs="Tahoma"/>
          <w:sz w:val="20"/>
          <w:szCs w:val="20"/>
        </w:rPr>
        <w:t xml:space="preserve"> occur</w:t>
      </w:r>
      <w:r w:rsidR="00CE043A">
        <w:rPr>
          <w:rFonts w:ascii="Tahoma" w:hAnsi="Tahoma" w:cs="Tahoma"/>
          <w:sz w:val="20"/>
          <w:szCs w:val="20"/>
        </w:rPr>
        <w:t>s</w:t>
      </w:r>
      <w:r w:rsidR="00110C5C" w:rsidRPr="00B45C06">
        <w:rPr>
          <w:rFonts w:ascii="Tahoma" w:hAnsi="Tahoma" w:cs="Tahoma"/>
          <w:sz w:val="20"/>
          <w:szCs w:val="20"/>
        </w:rPr>
        <w:t>.</w:t>
      </w:r>
      <w:r w:rsidR="00C42E43" w:rsidRPr="00B45C06">
        <w:rPr>
          <w:rFonts w:ascii="Tahoma" w:hAnsi="Tahoma" w:cs="Tahoma"/>
          <w:sz w:val="20"/>
          <w:szCs w:val="20"/>
        </w:rPr>
        <w:t xml:space="preserve"> The earlier the borrower is contacted regarding the delinquency, </w:t>
      </w:r>
      <w:r w:rsidR="00A857BC" w:rsidRPr="00B45C06">
        <w:rPr>
          <w:rFonts w:ascii="Tahoma" w:hAnsi="Tahoma" w:cs="Tahoma"/>
          <w:sz w:val="20"/>
          <w:szCs w:val="20"/>
        </w:rPr>
        <w:t xml:space="preserve">the </w:t>
      </w:r>
      <w:r w:rsidR="00C42E43" w:rsidRPr="00B45C06">
        <w:rPr>
          <w:rFonts w:ascii="Tahoma" w:hAnsi="Tahoma" w:cs="Tahoma"/>
          <w:sz w:val="20"/>
          <w:szCs w:val="20"/>
        </w:rPr>
        <w:t xml:space="preserve">more options remain </w:t>
      </w:r>
      <w:r w:rsidR="00A857BC" w:rsidRPr="00B45C06">
        <w:rPr>
          <w:rFonts w:ascii="Tahoma" w:hAnsi="Tahoma" w:cs="Tahoma"/>
          <w:sz w:val="20"/>
          <w:szCs w:val="20"/>
        </w:rPr>
        <w:t>available</w:t>
      </w:r>
      <w:r w:rsidR="00C42E43" w:rsidRPr="00B45C06">
        <w:rPr>
          <w:rFonts w:ascii="Tahoma" w:hAnsi="Tahoma" w:cs="Tahoma"/>
          <w:sz w:val="20"/>
          <w:szCs w:val="20"/>
        </w:rPr>
        <w:t xml:space="preserve"> for a successful resolution for both the </w:t>
      </w:r>
      <w:r w:rsidR="00341438">
        <w:rPr>
          <w:rFonts w:ascii="Tahoma" w:hAnsi="Tahoma" w:cs="Tahoma"/>
          <w:sz w:val="20"/>
          <w:szCs w:val="20"/>
        </w:rPr>
        <w:t xml:space="preserve">lending institution </w:t>
      </w:r>
      <w:r w:rsidR="00C42E43" w:rsidRPr="00B45C06">
        <w:rPr>
          <w:rFonts w:ascii="Tahoma" w:hAnsi="Tahoma" w:cs="Tahoma"/>
          <w:sz w:val="20"/>
          <w:szCs w:val="20"/>
        </w:rPr>
        <w:t>and the borrower</w:t>
      </w:r>
      <w:bookmarkStart w:id="0" w:name="_GoBack"/>
      <w:bookmarkEnd w:id="0"/>
      <w:r w:rsidR="00C42E43" w:rsidRPr="00B45C06">
        <w:rPr>
          <w:rFonts w:ascii="Tahoma" w:hAnsi="Tahoma" w:cs="Tahoma"/>
          <w:sz w:val="20"/>
          <w:szCs w:val="20"/>
        </w:rPr>
        <w:t>.</w:t>
      </w:r>
    </w:p>
    <w:p w:rsidR="002B4925" w:rsidRPr="002B4925" w:rsidRDefault="002B4925" w:rsidP="002B4925">
      <w:pPr>
        <w:pStyle w:val="ListParagraph"/>
        <w:numPr>
          <w:ilvl w:val="0"/>
          <w:numId w:val="23"/>
        </w:numPr>
        <w:spacing w:after="0"/>
        <w:rPr>
          <w:rFonts w:ascii="Tahoma" w:hAnsi="Tahoma" w:cs="Tahoma"/>
          <w:sz w:val="20"/>
          <w:szCs w:val="20"/>
        </w:rPr>
      </w:pPr>
      <w:r w:rsidRPr="003A3505">
        <w:rPr>
          <w:rFonts w:ascii="Tahoma" w:hAnsi="Tahoma" w:cs="Tahoma"/>
          <w:sz w:val="20"/>
          <w:szCs w:val="20"/>
        </w:rPr>
        <w:t>ILCC has made several million dollars in loans to tribes for land acquisition</w:t>
      </w:r>
      <w:r w:rsidR="00B45C06">
        <w:rPr>
          <w:rFonts w:ascii="Tahoma" w:hAnsi="Tahoma" w:cs="Tahoma"/>
          <w:sz w:val="20"/>
          <w:szCs w:val="20"/>
        </w:rPr>
        <w:t>. The scale of its reach was supported by CRF handling the backend operations of loan processing, portfolio reporting and servicing support. These loans</w:t>
      </w:r>
      <w:r>
        <w:rPr>
          <w:rFonts w:ascii="Tahoma" w:hAnsi="Tahoma" w:cs="Tahoma"/>
          <w:sz w:val="20"/>
          <w:szCs w:val="20"/>
        </w:rPr>
        <w:t xml:space="preserve"> have resulted in reclaiming</w:t>
      </w:r>
      <w:r w:rsidR="00341438">
        <w:rPr>
          <w:rFonts w:ascii="Tahoma" w:hAnsi="Tahoma" w:cs="Tahoma"/>
          <w:sz w:val="20"/>
          <w:szCs w:val="20"/>
        </w:rPr>
        <w:t xml:space="preserve"> Native</w:t>
      </w:r>
      <w:r>
        <w:rPr>
          <w:rFonts w:ascii="Tahoma" w:hAnsi="Tahoma" w:cs="Tahoma"/>
          <w:sz w:val="20"/>
          <w:szCs w:val="20"/>
        </w:rPr>
        <w:t xml:space="preserve"> land for the </w:t>
      </w:r>
      <w:r w:rsidR="00341438">
        <w:rPr>
          <w:rFonts w:ascii="Tahoma" w:hAnsi="Tahoma" w:cs="Tahoma"/>
          <w:sz w:val="20"/>
          <w:szCs w:val="20"/>
        </w:rPr>
        <w:t xml:space="preserve">purposes of </w:t>
      </w:r>
      <w:r>
        <w:rPr>
          <w:rFonts w:ascii="Tahoma" w:hAnsi="Tahoma" w:cs="Tahoma"/>
          <w:sz w:val="20"/>
          <w:szCs w:val="20"/>
        </w:rPr>
        <w:t>sustainable</w:t>
      </w:r>
      <w:r w:rsidR="00341438">
        <w:rPr>
          <w:rFonts w:ascii="Tahoma" w:hAnsi="Tahoma" w:cs="Tahoma"/>
          <w:sz w:val="20"/>
          <w:szCs w:val="20"/>
        </w:rPr>
        <w:t xml:space="preserve"> forest</w:t>
      </w:r>
      <w:r>
        <w:rPr>
          <w:rFonts w:ascii="Tahoma" w:hAnsi="Tahoma" w:cs="Tahoma"/>
          <w:sz w:val="20"/>
          <w:szCs w:val="20"/>
        </w:rPr>
        <w:t xml:space="preserve"> management, housing, health care services, ceremonies, and agriculture.</w:t>
      </w:r>
    </w:p>
    <w:p w:rsidR="00096122" w:rsidRDefault="00096122" w:rsidP="0002355D">
      <w:pPr>
        <w:spacing w:before="0" w:after="0"/>
        <w:rPr>
          <w:rFonts w:cs="Tahoma"/>
        </w:rPr>
      </w:pPr>
    </w:p>
    <w:p w:rsidR="00A857BC" w:rsidRPr="000536A4" w:rsidRDefault="00A857BC" w:rsidP="0002355D">
      <w:pPr>
        <w:spacing w:before="0" w:after="0"/>
        <w:rPr>
          <w:rFonts w:cs="Tahoma"/>
        </w:rPr>
      </w:pPr>
    </w:p>
    <w:p w:rsidR="0002355D" w:rsidRPr="00313AF1" w:rsidRDefault="0002355D" w:rsidP="00096122">
      <w:pPr>
        <w:spacing w:before="0" w:after="0"/>
        <w:rPr>
          <w:rFonts w:cs="Tahoma"/>
          <w:b/>
          <w:color w:val="174A7C"/>
        </w:rPr>
      </w:pPr>
      <w:r w:rsidRPr="00313AF1">
        <w:rPr>
          <w:rFonts w:cs="Tahoma"/>
          <w:b/>
          <w:color w:val="174A7C"/>
        </w:rPr>
        <w:t xml:space="preserve">Organization Profile: </w:t>
      </w:r>
      <w:r w:rsidR="00C1701B">
        <w:rPr>
          <w:rFonts w:cs="Tahoma"/>
          <w:b/>
          <w:color w:val="174A7C"/>
        </w:rPr>
        <w:t>Indian Land Capital</w:t>
      </w:r>
    </w:p>
    <w:p w:rsidR="00046F4C" w:rsidRDefault="00046F4C" w:rsidP="00046F4C">
      <w:pPr>
        <w:spacing w:before="0" w:after="0"/>
        <w:rPr>
          <w:rFonts w:cs="Tahoma"/>
          <w:b/>
          <w:color w:val="F6A01A"/>
          <w:sz w:val="20"/>
          <w:szCs w:val="20"/>
        </w:rPr>
      </w:pPr>
    </w:p>
    <w:p w:rsidR="0002355D" w:rsidRPr="00046F4C" w:rsidRDefault="0002355D" w:rsidP="00046F4C">
      <w:pPr>
        <w:spacing w:before="0" w:after="0"/>
        <w:rPr>
          <w:rFonts w:cs="Tahoma"/>
          <w:b/>
          <w:color w:val="E46C0A"/>
          <w:sz w:val="20"/>
          <w:szCs w:val="20"/>
        </w:rPr>
      </w:pPr>
      <w:r w:rsidRPr="00046F4C">
        <w:rPr>
          <w:rFonts w:cs="Tahoma"/>
          <w:b/>
          <w:color w:val="F6A01A"/>
          <w:sz w:val="20"/>
          <w:szCs w:val="20"/>
        </w:rPr>
        <w:t>Founded:</w:t>
      </w:r>
      <w:r w:rsidRPr="00046F4C">
        <w:rPr>
          <w:rFonts w:cs="Tahoma"/>
          <w:b/>
          <w:color w:val="E46C0A"/>
          <w:sz w:val="20"/>
          <w:szCs w:val="20"/>
        </w:rPr>
        <w:t xml:space="preserve"> </w:t>
      </w:r>
      <w:r w:rsidR="009E2C27">
        <w:rPr>
          <w:rFonts w:cs="Tahoma"/>
          <w:b/>
          <w:color w:val="E46C0A"/>
          <w:sz w:val="20"/>
          <w:szCs w:val="20"/>
        </w:rPr>
        <w:tab/>
      </w:r>
      <w:r w:rsidR="009E2C27">
        <w:rPr>
          <w:rFonts w:cs="Tahoma"/>
          <w:b/>
          <w:color w:val="E46C0A"/>
          <w:sz w:val="20"/>
          <w:szCs w:val="20"/>
        </w:rPr>
        <w:tab/>
      </w:r>
      <w:r w:rsidRPr="00046F4C">
        <w:rPr>
          <w:rFonts w:cs="Tahoma"/>
          <w:sz w:val="20"/>
          <w:szCs w:val="20"/>
        </w:rPr>
        <w:t>200</w:t>
      </w:r>
      <w:r w:rsidR="00C1701B" w:rsidRPr="00046F4C">
        <w:rPr>
          <w:rFonts w:cs="Tahoma"/>
          <w:sz w:val="20"/>
          <w:szCs w:val="20"/>
        </w:rPr>
        <w:t>5</w:t>
      </w:r>
    </w:p>
    <w:p w:rsidR="0002355D" w:rsidRPr="00046F4C" w:rsidRDefault="0002355D" w:rsidP="0002355D">
      <w:pPr>
        <w:spacing w:before="120" w:after="0"/>
        <w:rPr>
          <w:rFonts w:cs="Tahoma"/>
          <w:sz w:val="20"/>
          <w:szCs w:val="20"/>
        </w:rPr>
      </w:pPr>
      <w:r w:rsidRPr="00046F4C">
        <w:rPr>
          <w:rFonts w:cs="Tahoma"/>
          <w:b/>
          <w:color w:val="F6A01A"/>
          <w:sz w:val="20"/>
          <w:szCs w:val="20"/>
        </w:rPr>
        <w:t>Type of CDFI:</w:t>
      </w:r>
      <w:r w:rsidRPr="00046F4C">
        <w:rPr>
          <w:rFonts w:cs="Tahoma"/>
          <w:color w:val="F6A01A"/>
          <w:sz w:val="20"/>
          <w:szCs w:val="20"/>
        </w:rPr>
        <w:t xml:space="preserve"> </w:t>
      </w:r>
      <w:r w:rsidR="009E2C27">
        <w:rPr>
          <w:rFonts w:cs="Tahoma"/>
          <w:color w:val="F6A01A"/>
          <w:sz w:val="20"/>
          <w:szCs w:val="20"/>
        </w:rPr>
        <w:tab/>
      </w:r>
      <w:r w:rsidR="009E2C27">
        <w:rPr>
          <w:rFonts w:cs="Tahoma"/>
          <w:color w:val="F6A01A"/>
          <w:sz w:val="20"/>
          <w:szCs w:val="20"/>
        </w:rPr>
        <w:tab/>
      </w:r>
      <w:r w:rsidRPr="00046F4C">
        <w:rPr>
          <w:rFonts w:cs="Tahoma"/>
          <w:sz w:val="20"/>
          <w:szCs w:val="20"/>
        </w:rPr>
        <w:t>Loan Fund</w:t>
      </w:r>
    </w:p>
    <w:p w:rsidR="0002355D" w:rsidRPr="00046F4C" w:rsidRDefault="0002355D" w:rsidP="0002355D">
      <w:pPr>
        <w:spacing w:before="120" w:after="0"/>
        <w:rPr>
          <w:rFonts w:cs="Tahoma"/>
          <w:sz w:val="20"/>
          <w:szCs w:val="20"/>
        </w:rPr>
      </w:pPr>
      <w:r w:rsidRPr="00046F4C">
        <w:rPr>
          <w:rFonts w:cs="Tahoma"/>
          <w:b/>
          <w:color w:val="F6A01A"/>
          <w:sz w:val="20"/>
          <w:szCs w:val="20"/>
        </w:rPr>
        <w:t>Target Market:</w:t>
      </w:r>
      <w:r w:rsidRPr="00046F4C">
        <w:rPr>
          <w:rFonts w:cs="Tahoma"/>
          <w:color w:val="E46C0A"/>
          <w:sz w:val="20"/>
          <w:szCs w:val="20"/>
        </w:rPr>
        <w:t xml:space="preserve"> </w:t>
      </w:r>
      <w:r w:rsidR="009E2C27">
        <w:rPr>
          <w:rFonts w:cs="Tahoma"/>
          <w:color w:val="E46C0A"/>
          <w:sz w:val="20"/>
          <w:szCs w:val="20"/>
        </w:rPr>
        <w:tab/>
      </w:r>
      <w:r w:rsidR="00241B1D">
        <w:rPr>
          <w:rFonts w:cs="Tahoma"/>
          <w:sz w:val="20"/>
          <w:szCs w:val="20"/>
        </w:rPr>
        <w:t xml:space="preserve">Indian </w:t>
      </w:r>
      <w:r w:rsidR="00BD3BC5">
        <w:rPr>
          <w:rFonts w:cs="Tahoma"/>
          <w:sz w:val="20"/>
          <w:szCs w:val="20"/>
        </w:rPr>
        <w:t>N</w:t>
      </w:r>
      <w:r w:rsidR="00241B1D">
        <w:rPr>
          <w:rFonts w:cs="Tahoma"/>
          <w:sz w:val="20"/>
          <w:szCs w:val="20"/>
        </w:rPr>
        <w:t>ations</w:t>
      </w:r>
      <w:r w:rsidR="00BD3BC5">
        <w:rPr>
          <w:rFonts w:cs="Tahoma"/>
          <w:sz w:val="20"/>
          <w:szCs w:val="20"/>
        </w:rPr>
        <w:t>, National</w:t>
      </w:r>
    </w:p>
    <w:p w:rsidR="0002355D" w:rsidRDefault="0002355D" w:rsidP="0002355D">
      <w:pPr>
        <w:spacing w:before="120" w:after="0"/>
        <w:rPr>
          <w:rFonts w:cs="Tahoma"/>
          <w:color w:val="000000" w:themeColor="text1"/>
          <w:sz w:val="20"/>
          <w:szCs w:val="20"/>
        </w:rPr>
      </w:pPr>
      <w:r w:rsidRPr="00046F4C">
        <w:rPr>
          <w:rFonts w:cs="Tahoma"/>
          <w:b/>
          <w:color w:val="F6A01A"/>
          <w:sz w:val="20"/>
          <w:szCs w:val="20"/>
        </w:rPr>
        <w:t>Types of Lending:</w:t>
      </w:r>
      <w:r w:rsidRPr="00046F4C">
        <w:rPr>
          <w:rFonts w:cs="Tahoma"/>
          <w:b/>
          <w:color w:val="E46C0A"/>
          <w:sz w:val="20"/>
          <w:szCs w:val="20"/>
        </w:rPr>
        <w:t xml:space="preserve"> </w:t>
      </w:r>
      <w:r w:rsidR="009E2C27">
        <w:rPr>
          <w:rFonts w:cs="Tahoma"/>
          <w:b/>
          <w:color w:val="E46C0A"/>
          <w:sz w:val="20"/>
          <w:szCs w:val="20"/>
        </w:rPr>
        <w:tab/>
      </w:r>
      <w:r w:rsidR="00C1701B" w:rsidRPr="00046F4C">
        <w:rPr>
          <w:rFonts w:cs="Tahoma"/>
          <w:color w:val="000000" w:themeColor="text1"/>
          <w:sz w:val="20"/>
          <w:szCs w:val="20"/>
        </w:rPr>
        <w:t>Land</w:t>
      </w:r>
      <w:r w:rsidR="004708DC">
        <w:rPr>
          <w:rFonts w:cs="Tahoma"/>
          <w:color w:val="000000" w:themeColor="text1"/>
          <w:sz w:val="20"/>
          <w:szCs w:val="20"/>
        </w:rPr>
        <w:t xml:space="preserve"> Purchase</w:t>
      </w:r>
    </w:p>
    <w:p w:rsidR="0002355D" w:rsidRPr="00D274A4" w:rsidRDefault="00D274A4" w:rsidP="00D274A4">
      <w:pPr>
        <w:spacing w:before="120" w:after="0"/>
        <w:rPr>
          <w:rFonts w:cs="Tahoma"/>
          <w:b/>
          <w:color w:val="E46C0A"/>
          <w:sz w:val="20"/>
          <w:szCs w:val="20"/>
        </w:rPr>
      </w:pPr>
      <w:r w:rsidRPr="00D274A4">
        <w:rPr>
          <w:rFonts w:cs="Tahoma"/>
          <w:b/>
          <w:color w:val="F6A01A"/>
          <w:sz w:val="20"/>
          <w:szCs w:val="20"/>
        </w:rPr>
        <w:t>Loan Products:</w:t>
      </w:r>
      <w:r>
        <w:rPr>
          <w:rFonts w:cs="Tahoma"/>
          <w:color w:val="000000" w:themeColor="text1"/>
          <w:sz w:val="20"/>
          <w:szCs w:val="20"/>
        </w:rPr>
        <w:t xml:space="preserve"> </w:t>
      </w:r>
      <w:r w:rsidR="009E2C27">
        <w:rPr>
          <w:rFonts w:cs="Tahoma"/>
          <w:color w:val="000000" w:themeColor="text1"/>
          <w:sz w:val="20"/>
          <w:szCs w:val="20"/>
        </w:rPr>
        <w:tab/>
      </w:r>
      <w:r>
        <w:rPr>
          <w:rFonts w:cs="Tahoma"/>
          <w:color w:val="000000" w:themeColor="text1"/>
          <w:sz w:val="20"/>
          <w:szCs w:val="20"/>
        </w:rPr>
        <w:t>Term Loans, Lines of Credit/Bridge Loans</w:t>
      </w:r>
    </w:p>
    <w:p w:rsidR="0002355D" w:rsidRPr="00046F4C" w:rsidRDefault="0002355D" w:rsidP="00D274A4">
      <w:pPr>
        <w:spacing w:before="120" w:after="0"/>
        <w:rPr>
          <w:rFonts w:cs="Tahoma"/>
          <w:sz w:val="20"/>
          <w:szCs w:val="20"/>
        </w:rPr>
      </w:pPr>
      <w:r w:rsidRPr="00046F4C">
        <w:rPr>
          <w:rFonts w:cs="Tahoma"/>
          <w:b/>
          <w:color w:val="F6A01A"/>
          <w:sz w:val="20"/>
          <w:szCs w:val="20"/>
        </w:rPr>
        <w:t>Asset Size:</w:t>
      </w:r>
      <w:r w:rsidRPr="00046F4C">
        <w:rPr>
          <w:rFonts w:cs="Tahoma"/>
          <w:sz w:val="20"/>
          <w:szCs w:val="20"/>
        </w:rPr>
        <w:t xml:space="preserve"> </w:t>
      </w:r>
      <w:r w:rsidR="009E2C27">
        <w:rPr>
          <w:rFonts w:cs="Tahoma"/>
          <w:sz w:val="20"/>
          <w:szCs w:val="20"/>
        </w:rPr>
        <w:tab/>
      </w:r>
      <w:r w:rsidR="009E2C27">
        <w:rPr>
          <w:rFonts w:cs="Tahoma"/>
          <w:sz w:val="20"/>
          <w:szCs w:val="20"/>
        </w:rPr>
        <w:tab/>
      </w:r>
      <w:r w:rsidRPr="00046F4C">
        <w:rPr>
          <w:rFonts w:cs="Tahoma"/>
          <w:sz w:val="20"/>
          <w:szCs w:val="20"/>
        </w:rPr>
        <w:t>$</w:t>
      </w:r>
      <w:r w:rsidR="00EE1591">
        <w:rPr>
          <w:rFonts w:cs="Tahoma"/>
          <w:sz w:val="20"/>
          <w:szCs w:val="20"/>
        </w:rPr>
        <w:t>6 million+</w:t>
      </w:r>
      <w:r w:rsidR="00161881">
        <w:rPr>
          <w:rFonts w:cs="Tahoma"/>
          <w:sz w:val="20"/>
          <w:szCs w:val="20"/>
        </w:rPr>
        <w:t xml:space="preserve"> (FY 2012)</w:t>
      </w:r>
    </w:p>
    <w:p w:rsidR="00DC1D9D" w:rsidRPr="00046F4C" w:rsidRDefault="009E2C27" w:rsidP="00046F4C">
      <w:pPr>
        <w:spacing w:before="120" w:after="0"/>
        <w:rPr>
          <w:rFonts w:cs="Tahoma"/>
          <w:sz w:val="20"/>
          <w:szCs w:val="20"/>
        </w:rPr>
      </w:pPr>
      <w:r>
        <w:rPr>
          <w:rFonts w:cs="Tahoma"/>
          <w:b/>
          <w:color w:val="F6A01A"/>
          <w:sz w:val="20"/>
          <w:szCs w:val="20"/>
        </w:rPr>
        <w:t>No.</w:t>
      </w:r>
      <w:r w:rsidR="0002355D" w:rsidRPr="00046F4C">
        <w:rPr>
          <w:rFonts w:cs="Tahoma"/>
          <w:b/>
          <w:color w:val="F6A01A"/>
          <w:sz w:val="20"/>
          <w:szCs w:val="20"/>
        </w:rPr>
        <w:t xml:space="preserve"> of Employees:</w:t>
      </w:r>
      <w:r w:rsidR="0002355D" w:rsidRPr="00046F4C">
        <w:rPr>
          <w:rFonts w:cs="Tahoma"/>
          <w:sz w:val="20"/>
          <w:szCs w:val="20"/>
        </w:rPr>
        <w:t xml:space="preserve"> </w:t>
      </w:r>
      <w:r>
        <w:rPr>
          <w:rFonts w:cs="Tahoma"/>
          <w:sz w:val="20"/>
          <w:szCs w:val="20"/>
        </w:rPr>
        <w:tab/>
      </w:r>
      <w:r w:rsidR="00C1701B" w:rsidRPr="00046F4C">
        <w:rPr>
          <w:rFonts w:cs="Tahoma"/>
          <w:sz w:val="20"/>
          <w:szCs w:val="20"/>
        </w:rPr>
        <w:t>1</w:t>
      </w:r>
      <w:r w:rsidR="00161881">
        <w:rPr>
          <w:rFonts w:cs="Tahoma"/>
          <w:sz w:val="20"/>
          <w:szCs w:val="20"/>
        </w:rPr>
        <w:t xml:space="preserve"> (FY 2012)</w:t>
      </w:r>
    </w:p>
    <w:sectPr w:rsidR="00DC1D9D" w:rsidRPr="00046F4C" w:rsidSect="00241B1D">
      <w:headerReference w:type="even" r:id="rId9"/>
      <w:headerReference w:type="default" r:id="rId10"/>
      <w:footerReference w:type="even" r:id="rId11"/>
      <w:footerReference w:type="default" r:id="rId12"/>
      <w:headerReference w:type="first" r:id="rId13"/>
      <w:footerReference w:type="first" r:id="rId14"/>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1BC" w:rsidRDefault="005E01BC" w:rsidP="005468AD">
      <w:pPr>
        <w:spacing w:before="0" w:after="0"/>
      </w:pPr>
      <w:r>
        <w:separator/>
      </w:r>
    </w:p>
  </w:endnote>
  <w:endnote w:type="continuationSeparator" w:id="0">
    <w:p w:rsidR="005E01BC" w:rsidRDefault="005E01BC"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Default="00F65458" w:rsidP="00E71AC2">
    <w:pPr>
      <w:pStyle w:val="Footer"/>
      <w:framePr w:wrap="around" w:vAnchor="text" w:hAnchor="margin" w:xAlign="center" w:y="1"/>
      <w:rPr>
        <w:rStyle w:val="PageNumber"/>
      </w:rPr>
    </w:pPr>
    <w:r>
      <w:rPr>
        <w:rStyle w:val="PageNumber"/>
      </w:rPr>
      <w:fldChar w:fldCharType="begin"/>
    </w:r>
    <w:r w:rsidR="00B45C06">
      <w:rPr>
        <w:rStyle w:val="PageNumber"/>
      </w:rPr>
      <w:instrText xml:space="preserve">PAGE  </w:instrText>
    </w:r>
    <w:r>
      <w:rPr>
        <w:rStyle w:val="PageNumber"/>
      </w:rPr>
      <w:fldChar w:fldCharType="separate"/>
    </w:r>
    <w:r w:rsidR="009E2C27">
      <w:rPr>
        <w:rStyle w:val="PageNumber"/>
        <w:noProof/>
      </w:rPr>
      <w:t>2</w:t>
    </w:r>
    <w:r>
      <w:rPr>
        <w:rStyle w:val="PageNumber"/>
      </w:rPr>
      <w:fldChar w:fldCharType="end"/>
    </w:r>
  </w:p>
  <w:p w:rsidR="00B45C06" w:rsidRDefault="00B45C06">
    <w:pPr>
      <w:pStyle w:val="Footer"/>
    </w:pPr>
    <w:r w:rsidRPr="00096122">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-575945</wp:posOffset>
          </wp:positionV>
          <wp:extent cx="7214264" cy="996287"/>
          <wp:effectExtent l="19050" t="0" r="5686" b="0"/>
          <wp:wrapNone/>
          <wp:docPr id="2"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Pr="009E639E" w:rsidRDefault="00B45C06"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-206574</wp:posOffset>
          </wp:positionV>
          <wp:extent cx="7214616" cy="996336"/>
          <wp:effectExtent l="19050" t="0" r="5334"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616" cy="996336"/>
                  </a:xfrm>
                  <a:prstGeom prst="rect">
                    <a:avLst/>
                  </a:prstGeom>
                  <a:noFill/>
                </pic:spPr>
              </pic:pic>
            </a:graphicData>
          </a:graphic>
        </wp:anchor>
      </w:drawing>
    </w:r>
  </w:p>
  <w:p w:rsidR="00B45C06" w:rsidRPr="009A6419" w:rsidRDefault="00F65458"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B45C06" w:rsidRPr="009A6419">
      <w:rPr>
        <w:rStyle w:val="PageNumber"/>
        <w:sz w:val="20"/>
        <w:szCs w:val="20"/>
      </w:rPr>
      <w:instrText xml:space="preserve">PAGE  </w:instrText>
    </w:r>
    <w:r w:rsidRPr="009A6419">
      <w:rPr>
        <w:rStyle w:val="PageNumber"/>
        <w:sz w:val="20"/>
        <w:szCs w:val="20"/>
      </w:rPr>
      <w:fldChar w:fldCharType="separate"/>
    </w:r>
    <w:r w:rsidR="009E2C27">
      <w:rPr>
        <w:rStyle w:val="PageNumber"/>
        <w:noProof/>
        <w:sz w:val="20"/>
        <w:szCs w:val="20"/>
      </w:rPr>
      <w:t>1</w:t>
    </w:r>
    <w:r w:rsidRPr="009A6419">
      <w:rPr>
        <w:rStyle w:val="PageNumber"/>
        <w:sz w:val="20"/>
        <w:szCs w:val="20"/>
      </w:rPr>
      <w:fldChar w:fldCharType="end"/>
    </w:r>
  </w:p>
  <w:p w:rsidR="00B45C06" w:rsidRPr="009E639E" w:rsidRDefault="00B45C06" w:rsidP="00AB7054">
    <w:pPr>
      <w:jc w:val="center"/>
      <w:rPr>
        <w:b/>
        <w:color w:val="17365D"/>
        <w:sz w:val="22"/>
      </w:rPr>
    </w:pPr>
  </w:p>
  <w:p w:rsidR="00B45C06" w:rsidRPr="009E639E" w:rsidRDefault="00B45C06"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Pr="009E639E" w:rsidRDefault="00B45C06"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B45C06" w:rsidRPr="009A6419" w:rsidRDefault="00F65458"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B45C06" w:rsidRPr="009A6419">
      <w:rPr>
        <w:rStyle w:val="PageNumber"/>
        <w:sz w:val="20"/>
        <w:szCs w:val="20"/>
      </w:rPr>
      <w:instrText xml:space="preserve">PAGE  </w:instrText>
    </w:r>
    <w:r w:rsidRPr="009A6419">
      <w:rPr>
        <w:rStyle w:val="PageNumber"/>
        <w:sz w:val="20"/>
        <w:szCs w:val="20"/>
      </w:rPr>
      <w:fldChar w:fldCharType="separate"/>
    </w:r>
    <w:r w:rsidR="00B45C06">
      <w:rPr>
        <w:rStyle w:val="PageNumber"/>
        <w:noProof/>
        <w:sz w:val="20"/>
        <w:szCs w:val="20"/>
      </w:rPr>
      <w:t>1</w:t>
    </w:r>
    <w:r w:rsidRPr="009A6419">
      <w:rPr>
        <w:rStyle w:val="PageNumber"/>
        <w:sz w:val="20"/>
        <w:szCs w:val="20"/>
      </w:rPr>
      <w:fldChar w:fldCharType="end"/>
    </w:r>
  </w:p>
  <w:p w:rsidR="00B45C06" w:rsidRPr="009E639E" w:rsidRDefault="00B45C06" w:rsidP="009A6419">
    <w:pPr>
      <w:rPr>
        <w:b/>
        <w:color w:val="17365D"/>
        <w:sz w:val="22"/>
      </w:rPr>
    </w:pPr>
  </w:p>
  <w:p w:rsidR="00B45C06" w:rsidRPr="009E639E" w:rsidRDefault="00B45C06" w:rsidP="009A6419">
    <w:pPr>
      <w:jc w:val="center"/>
      <w:rPr>
        <w:b/>
        <w:color w:val="17365D"/>
        <w:sz w:val="22"/>
      </w:rPr>
    </w:pPr>
  </w:p>
  <w:p w:rsidR="00B45C06" w:rsidRPr="009E639E" w:rsidRDefault="00B45C06"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1BC" w:rsidRDefault="005E01BC" w:rsidP="005468AD">
      <w:pPr>
        <w:spacing w:before="0" w:after="0"/>
      </w:pPr>
      <w:r>
        <w:separator/>
      </w:r>
    </w:p>
  </w:footnote>
  <w:footnote w:type="continuationSeparator" w:id="0">
    <w:p w:rsidR="005E01BC" w:rsidRDefault="005E01BC"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Default="00B45C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Pr="00AB7054" w:rsidRDefault="00B45C06"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06" w:rsidRDefault="00B45C06"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5">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25371"/>
    <w:multiLevelType w:val="multilevel"/>
    <w:tmpl w:val="C79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5F895B1D"/>
    <w:multiLevelType w:val="multilevel"/>
    <w:tmpl w:val="7E4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16573"/>
    <w:multiLevelType w:val="hybridMultilevel"/>
    <w:tmpl w:val="1E8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9"/>
  </w:num>
  <w:num w:numId="5">
    <w:abstractNumId w:val="3"/>
  </w:num>
  <w:num w:numId="6">
    <w:abstractNumId w:val="10"/>
  </w:num>
  <w:num w:numId="7">
    <w:abstractNumId w:val="4"/>
  </w:num>
  <w:num w:numId="8">
    <w:abstractNumId w:val="15"/>
  </w:num>
  <w:num w:numId="9">
    <w:abstractNumId w:val="0"/>
  </w:num>
  <w:num w:numId="10">
    <w:abstractNumId w:val="13"/>
  </w:num>
  <w:num w:numId="11">
    <w:abstractNumId w:val="16"/>
  </w:num>
  <w:num w:numId="12">
    <w:abstractNumId w:val="2"/>
  </w:num>
  <w:num w:numId="13">
    <w:abstractNumId w:val="5"/>
  </w:num>
  <w:num w:numId="14">
    <w:abstractNumId w:val="8"/>
  </w:num>
  <w:num w:numId="15">
    <w:abstractNumId w:val="12"/>
  </w:num>
  <w:num w:numId="16">
    <w:abstractNumId w:val="18"/>
  </w:num>
  <w:num w:numId="17">
    <w:abstractNumId w:val="7"/>
  </w:num>
  <w:num w:numId="18">
    <w:abstractNumId w:val="14"/>
  </w:num>
  <w:num w:numId="19">
    <w:abstractNumId w:val="21"/>
  </w:num>
  <w:num w:numId="20">
    <w:abstractNumId w:val="1"/>
  </w:num>
  <w:num w:numId="21">
    <w:abstractNumId w:val="6"/>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rsids>
    <w:rsidRoot w:val="00750C26"/>
    <w:rsid w:val="00014177"/>
    <w:rsid w:val="00023429"/>
    <w:rsid w:val="0002355D"/>
    <w:rsid w:val="00046F4C"/>
    <w:rsid w:val="000536A4"/>
    <w:rsid w:val="0008693A"/>
    <w:rsid w:val="00096122"/>
    <w:rsid w:val="000B3259"/>
    <w:rsid w:val="000E39A3"/>
    <w:rsid w:val="000E4A24"/>
    <w:rsid w:val="0010571D"/>
    <w:rsid w:val="00110C5C"/>
    <w:rsid w:val="00161881"/>
    <w:rsid w:val="001A6CA3"/>
    <w:rsid w:val="001D6809"/>
    <w:rsid w:val="00215962"/>
    <w:rsid w:val="00230092"/>
    <w:rsid w:val="00241B1D"/>
    <w:rsid w:val="0026122F"/>
    <w:rsid w:val="00267024"/>
    <w:rsid w:val="002971EC"/>
    <w:rsid w:val="002B16F1"/>
    <w:rsid w:val="002B4925"/>
    <w:rsid w:val="002C196B"/>
    <w:rsid w:val="002F145A"/>
    <w:rsid w:val="00313AF1"/>
    <w:rsid w:val="00326952"/>
    <w:rsid w:val="00330F02"/>
    <w:rsid w:val="00341438"/>
    <w:rsid w:val="00390488"/>
    <w:rsid w:val="003A3505"/>
    <w:rsid w:val="003C49B9"/>
    <w:rsid w:val="003D27A9"/>
    <w:rsid w:val="003E1573"/>
    <w:rsid w:val="003F4739"/>
    <w:rsid w:val="00433207"/>
    <w:rsid w:val="00446705"/>
    <w:rsid w:val="0045538E"/>
    <w:rsid w:val="004708DC"/>
    <w:rsid w:val="004E2B9E"/>
    <w:rsid w:val="00507063"/>
    <w:rsid w:val="00544514"/>
    <w:rsid w:val="005468AD"/>
    <w:rsid w:val="00550A98"/>
    <w:rsid w:val="00555380"/>
    <w:rsid w:val="00593B7B"/>
    <w:rsid w:val="005B3690"/>
    <w:rsid w:val="005B4082"/>
    <w:rsid w:val="005D5410"/>
    <w:rsid w:val="005E01BC"/>
    <w:rsid w:val="005F1898"/>
    <w:rsid w:val="005F5E69"/>
    <w:rsid w:val="006600CD"/>
    <w:rsid w:val="0066088D"/>
    <w:rsid w:val="00664FFC"/>
    <w:rsid w:val="006821CC"/>
    <w:rsid w:val="006B29F7"/>
    <w:rsid w:val="006B5733"/>
    <w:rsid w:val="00716D2A"/>
    <w:rsid w:val="00717D79"/>
    <w:rsid w:val="007233A4"/>
    <w:rsid w:val="00723C78"/>
    <w:rsid w:val="00750C26"/>
    <w:rsid w:val="00794837"/>
    <w:rsid w:val="008064D6"/>
    <w:rsid w:val="0081710B"/>
    <w:rsid w:val="008251EE"/>
    <w:rsid w:val="00831D3C"/>
    <w:rsid w:val="00834BD1"/>
    <w:rsid w:val="00851397"/>
    <w:rsid w:val="00857C3D"/>
    <w:rsid w:val="008637E6"/>
    <w:rsid w:val="00875411"/>
    <w:rsid w:val="00877BB0"/>
    <w:rsid w:val="008A2001"/>
    <w:rsid w:val="008B5C70"/>
    <w:rsid w:val="008B5C91"/>
    <w:rsid w:val="00906074"/>
    <w:rsid w:val="009155D6"/>
    <w:rsid w:val="00993B54"/>
    <w:rsid w:val="009A6419"/>
    <w:rsid w:val="009C0484"/>
    <w:rsid w:val="009E1B02"/>
    <w:rsid w:val="009E2C27"/>
    <w:rsid w:val="009E639E"/>
    <w:rsid w:val="00A13EFE"/>
    <w:rsid w:val="00A20BD5"/>
    <w:rsid w:val="00A857BC"/>
    <w:rsid w:val="00AA0F20"/>
    <w:rsid w:val="00AB7054"/>
    <w:rsid w:val="00AE1D00"/>
    <w:rsid w:val="00B10A17"/>
    <w:rsid w:val="00B2416F"/>
    <w:rsid w:val="00B45C06"/>
    <w:rsid w:val="00B46507"/>
    <w:rsid w:val="00B90F5B"/>
    <w:rsid w:val="00BA7895"/>
    <w:rsid w:val="00BD1756"/>
    <w:rsid w:val="00BD3BC5"/>
    <w:rsid w:val="00C07D96"/>
    <w:rsid w:val="00C11857"/>
    <w:rsid w:val="00C1701B"/>
    <w:rsid w:val="00C25E20"/>
    <w:rsid w:val="00C42E43"/>
    <w:rsid w:val="00C83245"/>
    <w:rsid w:val="00C92095"/>
    <w:rsid w:val="00CA206F"/>
    <w:rsid w:val="00CC5C7D"/>
    <w:rsid w:val="00CD236E"/>
    <w:rsid w:val="00CE043A"/>
    <w:rsid w:val="00D04736"/>
    <w:rsid w:val="00D274A4"/>
    <w:rsid w:val="00D37DB9"/>
    <w:rsid w:val="00D5720C"/>
    <w:rsid w:val="00D7345A"/>
    <w:rsid w:val="00DB53D5"/>
    <w:rsid w:val="00DB6705"/>
    <w:rsid w:val="00DC1D9D"/>
    <w:rsid w:val="00DF3AB5"/>
    <w:rsid w:val="00DF4A01"/>
    <w:rsid w:val="00E12590"/>
    <w:rsid w:val="00E22BBA"/>
    <w:rsid w:val="00E455E4"/>
    <w:rsid w:val="00E4587D"/>
    <w:rsid w:val="00E71AC2"/>
    <w:rsid w:val="00EE1591"/>
    <w:rsid w:val="00EE7880"/>
    <w:rsid w:val="00F10E7D"/>
    <w:rsid w:val="00F11995"/>
    <w:rsid w:val="00F213CC"/>
    <w:rsid w:val="00F239D8"/>
    <w:rsid w:val="00F26962"/>
    <w:rsid w:val="00F60518"/>
    <w:rsid w:val="00F64B98"/>
    <w:rsid w:val="00F65458"/>
    <w:rsid w:val="00F749DD"/>
    <w:rsid w:val="00F8605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22"/>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014177"/>
    <w:rPr>
      <w:rFonts w:ascii="Tahoma" w:eastAsia="Times New Roman"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22"/>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014177"/>
    <w:rPr>
      <w:rFonts w:ascii="Tahoma" w:eastAsia="Times New Roman" w:hAnsi="Tahoma"/>
      <w:sz w:val="24"/>
      <w:szCs w:val="24"/>
    </w:rPr>
  </w:style>
</w:styles>
</file>

<file path=word/webSettings.xml><?xml version="1.0" encoding="utf-8"?>
<w:webSettings xmlns:r="http://schemas.openxmlformats.org/officeDocument/2006/relationships" xmlns:w="http://schemas.openxmlformats.org/wordprocessingml/2006/main">
  <w:divs>
    <w:div w:id="69232225">
      <w:bodyDiv w:val="1"/>
      <w:marLeft w:val="0"/>
      <w:marRight w:val="0"/>
      <w:marTop w:val="0"/>
      <w:marBottom w:val="0"/>
      <w:divBdr>
        <w:top w:val="none" w:sz="0" w:space="0" w:color="auto"/>
        <w:left w:val="none" w:sz="0" w:space="0" w:color="auto"/>
        <w:bottom w:val="none" w:sz="0" w:space="0" w:color="auto"/>
        <w:right w:val="none" w:sz="0" w:space="0" w:color="auto"/>
      </w:divBdr>
    </w:div>
    <w:div w:id="383916205">
      <w:bodyDiv w:val="1"/>
      <w:marLeft w:val="0"/>
      <w:marRight w:val="0"/>
      <w:marTop w:val="0"/>
      <w:marBottom w:val="0"/>
      <w:divBdr>
        <w:top w:val="none" w:sz="0" w:space="0" w:color="auto"/>
        <w:left w:val="none" w:sz="0" w:space="0" w:color="auto"/>
        <w:bottom w:val="none" w:sz="0" w:space="0" w:color="auto"/>
        <w:right w:val="none" w:sz="0" w:space="0" w:color="auto"/>
      </w:divBdr>
    </w:div>
    <w:div w:id="783618033">
      <w:bodyDiv w:val="1"/>
      <w:marLeft w:val="0"/>
      <w:marRight w:val="0"/>
      <w:marTop w:val="0"/>
      <w:marBottom w:val="0"/>
      <w:divBdr>
        <w:top w:val="none" w:sz="0" w:space="0" w:color="auto"/>
        <w:left w:val="none" w:sz="0" w:space="0" w:color="auto"/>
        <w:bottom w:val="none" w:sz="0" w:space="0" w:color="auto"/>
        <w:right w:val="none" w:sz="0" w:space="0" w:color="auto"/>
      </w:divBdr>
    </w:div>
    <w:div w:id="844638768">
      <w:bodyDiv w:val="1"/>
      <w:marLeft w:val="0"/>
      <w:marRight w:val="0"/>
      <w:marTop w:val="0"/>
      <w:marBottom w:val="0"/>
      <w:divBdr>
        <w:top w:val="none" w:sz="0" w:space="0" w:color="auto"/>
        <w:left w:val="none" w:sz="0" w:space="0" w:color="auto"/>
        <w:bottom w:val="none" w:sz="0" w:space="0" w:color="auto"/>
        <w:right w:val="none" w:sz="0" w:space="0" w:color="auto"/>
      </w:divBdr>
    </w:div>
    <w:div w:id="1075250410">
      <w:bodyDiv w:val="1"/>
      <w:marLeft w:val="0"/>
      <w:marRight w:val="0"/>
      <w:marTop w:val="0"/>
      <w:marBottom w:val="0"/>
      <w:divBdr>
        <w:top w:val="none" w:sz="0" w:space="0" w:color="auto"/>
        <w:left w:val="none" w:sz="0" w:space="0" w:color="auto"/>
        <w:bottom w:val="none" w:sz="0" w:space="0" w:color="auto"/>
        <w:right w:val="none" w:sz="0" w:space="0" w:color="auto"/>
      </w:divBdr>
    </w:div>
    <w:div w:id="1723483387">
      <w:bodyDiv w:val="1"/>
      <w:marLeft w:val="0"/>
      <w:marRight w:val="0"/>
      <w:marTop w:val="0"/>
      <w:marBottom w:val="0"/>
      <w:divBdr>
        <w:top w:val="none" w:sz="0" w:space="0" w:color="auto"/>
        <w:left w:val="none" w:sz="0" w:space="0" w:color="auto"/>
        <w:bottom w:val="none" w:sz="0" w:space="0" w:color="auto"/>
        <w:right w:val="none" w:sz="0" w:space="0" w:color="auto"/>
      </w:divBdr>
    </w:div>
    <w:div w:id="1961036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rfusa.com/loan_servicing"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ilcc.net"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H34TN2MWWJXZ-58-542</_dlc_DocId>
    <_dlc_DocIdUrl xmlns="1dbe7651-cd84-4392-9fac-4e185041b4e2">
      <Url>https://www.cdfifund.gov/_layouts/15/DocIdRedir.aspx?ID=H34TN2MWWJXZ-58-542</Url>
      <Description>H34TN2MWWJXZ-58-542</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D78A84-E96F-4564-9F90-15208D56256E}"/>
</file>

<file path=customXml/itemProps2.xml><?xml version="1.0" encoding="utf-8"?>
<ds:datastoreItem xmlns:ds="http://schemas.openxmlformats.org/officeDocument/2006/customXml" ds:itemID="{35875C2D-8A9E-4350-934C-6055170762F4}"/>
</file>

<file path=customXml/itemProps3.xml><?xml version="1.0" encoding="utf-8"?>
<ds:datastoreItem xmlns:ds="http://schemas.openxmlformats.org/officeDocument/2006/customXml" ds:itemID="{7DCE2766-98B2-4384-903D-153D2223DC0D}"/>
</file>

<file path=customXml/itemProps4.xml><?xml version="1.0" encoding="utf-8"?>
<ds:datastoreItem xmlns:ds="http://schemas.openxmlformats.org/officeDocument/2006/customXml" ds:itemID="{E57ACFBF-59C6-4E3C-AC36-2E2FD9ED006C}"/>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5100</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3</cp:revision>
  <dcterms:created xsi:type="dcterms:W3CDTF">2013-08-06T20:54:00Z</dcterms:created>
  <dcterms:modified xsi:type="dcterms:W3CDTF">2013-08-08T18:03:00Z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890c1f78-3151-47b4-8fc3-78411d1091e1</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54200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