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D1" w:rsidRPr="001A50BE" w:rsidRDefault="00834BD1" w:rsidP="00834BD1">
      <w:pPr>
        <w:spacing w:after="0"/>
        <w:jc w:val="center"/>
        <w:rPr>
          <w:rFonts w:cs="Tahoma"/>
          <w:b/>
          <w:color w:val="174A7C"/>
          <w:sz w:val="32"/>
        </w:rPr>
      </w:pPr>
      <w:r w:rsidRPr="001A50BE">
        <w:rPr>
          <w:rFonts w:cs="Tahoma"/>
          <w:b/>
          <w:color w:val="174A7C"/>
          <w:sz w:val="32"/>
        </w:rPr>
        <w:t>Latino Community Credit Union</w:t>
      </w:r>
    </w:p>
    <w:p w:rsidR="00834BD1" w:rsidRPr="005E460E" w:rsidRDefault="0052059B" w:rsidP="00834BD1">
      <w:pPr>
        <w:spacing w:after="0"/>
        <w:jc w:val="center"/>
        <w:rPr>
          <w:rFonts w:cs="Tahoma"/>
          <w:color w:val="F6A01A"/>
          <w:sz w:val="20"/>
          <w:szCs w:val="20"/>
        </w:rPr>
      </w:pPr>
      <w:hyperlink r:id="rId8" w:history="1">
        <w:r w:rsidR="00834BD1" w:rsidRPr="005E460E">
          <w:rPr>
            <w:rStyle w:val="Hyperlink"/>
            <w:rFonts w:cs="Tahoma"/>
            <w:color w:val="F6A01A"/>
            <w:sz w:val="20"/>
            <w:szCs w:val="20"/>
          </w:rPr>
          <w:t>www.latinoccu.org</w:t>
        </w:r>
      </w:hyperlink>
    </w:p>
    <w:p w:rsidR="00834BD1" w:rsidRPr="005E460E" w:rsidRDefault="00834BD1" w:rsidP="00834BD1">
      <w:pPr>
        <w:spacing w:after="0"/>
        <w:jc w:val="center"/>
        <w:rPr>
          <w:rFonts w:cs="Tahoma"/>
          <w:sz w:val="20"/>
          <w:szCs w:val="20"/>
        </w:rPr>
      </w:pPr>
    </w:p>
    <w:p w:rsidR="00834BD1" w:rsidRPr="005E460E" w:rsidRDefault="00834BD1" w:rsidP="00834BD1">
      <w:pPr>
        <w:spacing w:after="0"/>
        <w:rPr>
          <w:rFonts w:cs="Tahoma"/>
          <w:i/>
          <w:sz w:val="20"/>
          <w:szCs w:val="20"/>
        </w:rPr>
      </w:pPr>
      <w:r w:rsidRPr="005E460E">
        <w:rPr>
          <w:rFonts w:cs="Tahoma"/>
          <w:i/>
          <w:sz w:val="20"/>
          <w:szCs w:val="20"/>
        </w:rPr>
        <w:t xml:space="preserve">Latino Community Credit Union (LCCU) is the first financial services institution in North Carolina aimed at the state's growing Latino population. LCCU's mission is to </w:t>
      </w:r>
      <w:r w:rsidR="001F0BF5">
        <w:rPr>
          <w:rFonts w:cs="Tahoma"/>
          <w:i/>
          <w:sz w:val="20"/>
          <w:szCs w:val="20"/>
        </w:rPr>
        <w:t xml:space="preserve">create economic opportunity </w:t>
      </w:r>
      <w:r w:rsidRPr="005E460E">
        <w:rPr>
          <w:rFonts w:cs="Tahoma"/>
          <w:i/>
          <w:sz w:val="20"/>
          <w:szCs w:val="20"/>
        </w:rPr>
        <w:t xml:space="preserve">through the delivery of </w:t>
      </w:r>
      <w:r w:rsidR="001F0BF5">
        <w:rPr>
          <w:rFonts w:cs="Tahoma"/>
          <w:i/>
          <w:sz w:val="20"/>
          <w:szCs w:val="20"/>
        </w:rPr>
        <w:t xml:space="preserve">ethical, </w:t>
      </w:r>
      <w:r w:rsidRPr="005E460E">
        <w:rPr>
          <w:rFonts w:cs="Tahoma"/>
          <w:i/>
          <w:sz w:val="20"/>
          <w:szCs w:val="20"/>
        </w:rPr>
        <w:t xml:space="preserve">affordable financial services and financial education programs specifically targeted to underserved Hispanic immigrants in North Carolina. LCCU was founded in 2000 in response to violence against Latino residents in North Carolina. LCCU now has more than </w:t>
      </w:r>
      <w:r w:rsidR="001F0BF5" w:rsidRPr="005E460E">
        <w:rPr>
          <w:rFonts w:cs="Tahoma"/>
          <w:i/>
          <w:sz w:val="20"/>
          <w:szCs w:val="20"/>
        </w:rPr>
        <w:t>5</w:t>
      </w:r>
      <w:r w:rsidR="005E71BE">
        <w:rPr>
          <w:rFonts w:cs="Tahoma"/>
          <w:i/>
          <w:sz w:val="20"/>
          <w:szCs w:val="20"/>
        </w:rPr>
        <w:t>5</w:t>
      </w:r>
      <w:r w:rsidRPr="005E460E">
        <w:rPr>
          <w:rFonts w:cs="Tahoma"/>
          <w:i/>
          <w:sz w:val="20"/>
          <w:szCs w:val="20"/>
        </w:rPr>
        <w:t>,000 members.</w:t>
      </w:r>
    </w:p>
    <w:p w:rsidR="00834BD1" w:rsidRPr="005E460E" w:rsidRDefault="00834BD1" w:rsidP="00834BD1">
      <w:pPr>
        <w:spacing w:after="0"/>
        <w:rPr>
          <w:rFonts w:cs="Tahoma"/>
          <w:sz w:val="20"/>
          <w:szCs w:val="20"/>
        </w:rPr>
      </w:pPr>
    </w:p>
    <w:p w:rsidR="00834BD1" w:rsidRPr="001A50BE" w:rsidRDefault="00834BD1" w:rsidP="00834BD1">
      <w:pPr>
        <w:spacing w:after="0"/>
        <w:jc w:val="center"/>
        <w:rPr>
          <w:rFonts w:cs="Tahoma"/>
          <w:b/>
          <w:color w:val="174A7C"/>
        </w:rPr>
      </w:pPr>
      <w:r w:rsidRPr="001A50BE">
        <w:rPr>
          <w:rFonts w:cs="Tahoma"/>
          <w:color w:val="174A7C"/>
        </w:rPr>
        <w:t>This case study demonstrates</w:t>
      </w:r>
      <w:r w:rsidRPr="001A50BE">
        <w:rPr>
          <w:rFonts w:cs="Tahoma"/>
          <w:b/>
          <w:color w:val="174A7C"/>
        </w:rPr>
        <w:t xml:space="preserve"> geographic expansion.</w:t>
      </w:r>
    </w:p>
    <w:p w:rsidR="00834BD1" w:rsidRPr="00786ECD" w:rsidRDefault="00834BD1" w:rsidP="00834BD1">
      <w:pPr>
        <w:spacing w:after="0"/>
        <w:jc w:val="center"/>
        <w:rPr>
          <w:rFonts w:cs="Tahoma"/>
          <w:b/>
          <w:color w:val="17365D"/>
        </w:rPr>
      </w:pPr>
    </w:p>
    <w:p w:rsidR="00834BD1" w:rsidRPr="001A50BE" w:rsidRDefault="00713FA4" w:rsidP="00834BD1">
      <w:pPr>
        <w:spacing w:after="0"/>
        <w:rPr>
          <w:rFonts w:cs="Tahoma"/>
          <w:color w:val="F6A01A"/>
        </w:rPr>
      </w:pPr>
      <w:r>
        <w:rPr>
          <w:rFonts w:cs="Tahoma"/>
          <w:b/>
          <w:color w:val="F6A01A"/>
        </w:rPr>
        <w:t>Action</w:t>
      </w:r>
      <w:r w:rsidR="001A50BE" w:rsidRPr="001A50BE">
        <w:rPr>
          <w:rFonts w:cs="Tahoma"/>
          <w:b/>
          <w:color w:val="F6A01A"/>
        </w:rPr>
        <w:t>:</w:t>
      </w:r>
    </w:p>
    <w:p w:rsidR="00834BD1" w:rsidRPr="005E460E" w:rsidRDefault="00834BD1" w:rsidP="00834BD1">
      <w:pPr>
        <w:spacing w:after="0"/>
        <w:rPr>
          <w:rFonts w:cs="Tahoma"/>
          <w:sz w:val="20"/>
        </w:rPr>
      </w:pPr>
      <w:r w:rsidRPr="005E460E">
        <w:rPr>
          <w:rFonts w:cs="Tahoma"/>
          <w:sz w:val="20"/>
        </w:rPr>
        <w:t>Latino Community Credit Union expanded geographically so that it now has eleven branches across the state of North Carolina. LCCU opened branches in neighborhoods with the strategy to serve Latinos and offer a safe option for depositing money</w:t>
      </w:r>
      <w:r w:rsidR="001F0BF5">
        <w:rPr>
          <w:rFonts w:cs="Tahoma"/>
          <w:sz w:val="20"/>
        </w:rPr>
        <w:t>, accessing affordable credit, and creating wealth for the future.</w:t>
      </w:r>
    </w:p>
    <w:p w:rsidR="00834BD1" w:rsidRPr="005E460E" w:rsidRDefault="00834BD1" w:rsidP="00834BD1">
      <w:pPr>
        <w:spacing w:after="0"/>
        <w:rPr>
          <w:rFonts w:cs="Tahoma"/>
          <w:sz w:val="22"/>
        </w:rPr>
      </w:pPr>
    </w:p>
    <w:p w:rsidR="00834BD1" w:rsidRPr="001A50BE" w:rsidRDefault="00713FA4" w:rsidP="00834BD1">
      <w:pPr>
        <w:spacing w:after="0"/>
        <w:rPr>
          <w:rFonts w:cs="Tahoma"/>
          <w:b/>
          <w:color w:val="F6A01A"/>
        </w:rPr>
      </w:pPr>
      <w:r>
        <w:rPr>
          <w:rFonts w:cs="Tahoma"/>
          <w:b/>
          <w:color w:val="F6A01A"/>
        </w:rPr>
        <w:t>Process</w:t>
      </w:r>
      <w:r w:rsidR="00834BD1" w:rsidRPr="001A50BE">
        <w:rPr>
          <w:rFonts w:cs="Tahoma"/>
          <w:b/>
          <w:color w:val="F6A01A"/>
        </w:rPr>
        <w:t>:</w:t>
      </w:r>
    </w:p>
    <w:p w:rsidR="00834BD1" w:rsidRPr="005E460E" w:rsidRDefault="00834BD1" w:rsidP="00834BD1">
      <w:pPr>
        <w:pStyle w:val="ListParagraph"/>
        <w:numPr>
          <w:ilvl w:val="0"/>
          <w:numId w:val="20"/>
        </w:numPr>
        <w:spacing w:after="0"/>
        <w:rPr>
          <w:rFonts w:ascii="Tahoma" w:hAnsi="Tahoma" w:cs="Tahoma"/>
          <w:sz w:val="20"/>
        </w:rPr>
      </w:pPr>
      <w:r w:rsidRPr="005E460E">
        <w:rPr>
          <w:rFonts w:ascii="Tahoma" w:hAnsi="Tahoma" w:cs="Tahoma"/>
          <w:sz w:val="20"/>
        </w:rPr>
        <w:t>In 2007, Latino Community Credit Union became the first recipient of the Opportunity Finance Network’s Wachovia Wells Fargo NEXT Awards, an award in partnership with the MacArthur Foundation. The award recognized LCCU as a CDFI with an excellent track record and extraordinary potential. The $5 million loan and $500,000 grant award helped LCCU to increase convenience for its members with more branches, new products and improved technology, including online account access.</w:t>
      </w:r>
    </w:p>
    <w:p w:rsidR="00834BD1" w:rsidRPr="00237F9C" w:rsidRDefault="00834BD1" w:rsidP="00834BD1">
      <w:pPr>
        <w:pStyle w:val="ListParagraph"/>
        <w:numPr>
          <w:ilvl w:val="0"/>
          <w:numId w:val="20"/>
        </w:numPr>
        <w:spacing w:after="0"/>
        <w:rPr>
          <w:rFonts w:ascii="Tahoma" w:hAnsi="Tahoma" w:cs="Tahoma"/>
          <w:color w:val="000000" w:themeColor="text1"/>
          <w:sz w:val="20"/>
          <w:szCs w:val="20"/>
        </w:rPr>
      </w:pPr>
      <w:r w:rsidRPr="005E460E">
        <w:rPr>
          <w:rFonts w:ascii="Tahoma" w:hAnsi="Tahoma" w:cs="Tahoma"/>
          <w:sz w:val="20"/>
        </w:rPr>
        <w:t>LCCU has opened six additional branches from 2008 to the present in North Carolina.</w:t>
      </w:r>
      <w:r w:rsidR="00237F9C">
        <w:rPr>
          <w:rFonts w:ascii="Tahoma" w:hAnsi="Tahoma" w:cs="Tahoma"/>
          <w:sz w:val="20"/>
        </w:rPr>
        <w:t xml:space="preserve"> LCCU currently has ten physical branch locations and one virtual branch, which operates as a call center.</w:t>
      </w:r>
    </w:p>
    <w:p w:rsidR="00237F9C" w:rsidRPr="00237F9C" w:rsidRDefault="00237F9C" w:rsidP="00237F9C">
      <w:pPr>
        <w:pStyle w:val="ListParagraph"/>
        <w:numPr>
          <w:ilvl w:val="0"/>
          <w:numId w:val="20"/>
        </w:numPr>
        <w:spacing w:after="0" w:line="240" w:lineRule="auto"/>
        <w:contextualSpacing w:val="0"/>
        <w:rPr>
          <w:rFonts w:ascii="Tahoma" w:hAnsi="Tahoma" w:cs="Tahoma"/>
          <w:color w:val="000000" w:themeColor="text1"/>
          <w:sz w:val="20"/>
          <w:szCs w:val="20"/>
        </w:rPr>
      </w:pPr>
      <w:r w:rsidRPr="00237F9C">
        <w:rPr>
          <w:rFonts w:ascii="Tahoma" w:hAnsi="Tahoma" w:cs="Tahoma"/>
          <w:color w:val="000000" w:themeColor="text1"/>
          <w:sz w:val="20"/>
          <w:szCs w:val="20"/>
        </w:rPr>
        <w:t>LCCU’s strategy is to partner with local non-profits, churches, and other interested organizations when opening a new branch, which helps</w:t>
      </w:r>
      <w:r>
        <w:rPr>
          <w:rFonts w:ascii="Tahoma" w:hAnsi="Tahoma" w:cs="Tahoma"/>
          <w:color w:val="000000" w:themeColor="text1"/>
          <w:sz w:val="20"/>
          <w:szCs w:val="20"/>
        </w:rPr>
        <w:t xml:space="preserve"> raise awareness in the community and</w:t>
      </w:r>
      <w:r w:rsidRPr="00237F9C">
        <w:rPr>
          <w:rFonts w:ascii="Tahoma" w:hAnsi="Tahoma" w:cs="Tahoma"/>
          <w:color w:val="000000" w:themeColor="text1"/>
          <w:sz w:val="20"/>
          <w:szCs w:val="20"/>
        </w:rPr>
        <w:t xml:space="preserve"> market</w:t>
      </w:r>
      <w:r>
        <w:rPr>
          <w:rFonts w:ascii="Tahoma" w:hAnsi="Tahoma" w:cs="Tahoma"/>
          <w:color w:val="000000" w:themeColor="text1"/>
          <w:sz w:val="20"/>
          <w:szCs w:val="20"/>
        </w:rPr>
        <w:t>s</w:t>
      </w:r>
      <w:r w:rsidRPr="00237F9C">
        <w:rPr>
          <w:rFonts w:ascii="Tahoma" w:hAnsi="Tahoma" w:cs="Tahoma"/>
          <w:color w:val="000000" w:themeColor="text1"/>
          <w:sz w:val="20"/>
          <w:szCs w:val="20"/>
        </w:rPr>
        <w:t xml:space="preserve"> the </w:t>
      </w:r>
      <w:r>
        <w:rPr>
          <w:rFonts w:ascii="Tahoma" w:hAnsi="Tahoma" w:cs="Tahoma"/>
          <w:color w:val="000000" w:themeColor="text1"/>
          <w:sz w:val="20"/>
          <w:szCs w:val="20"/>
        </w:rPr>
        <w:t xml:space="preserve">financial </w:t>
      </w:r>
      <w:r w:rsidRPr="00237F9C">
        <w:rPr>
          <w:rFonts w:ascii="Tahoma" w:hAnsi="Tahoma" w:cs="Tahoma"/>
          <w:color w:val="000000" w:themeColor="text1"/>
          <w:sz w:val="20"/>
          <w:szCs w:val="20"/>
        </w:rPr>
        <w:t>products and services.</w:t>
      </w:r>
    </w:p>
    <w:p w:rsidR="00834BD1" w:rsidRPr="005E460E" w:rsidRDefault="00834BD1" w:rsidP="00237F9C">
      <w:pPr>
        <w:pStyle w:val="ListParagraph"/>
        <w:spacing w:after="0" w:line="240" w:lineRule="auto"/>
        <w:contextualSpacing w:val="0"/>
        <w:rPr>
          <w:rFonts w:ascii="Tahoma" w:hAnsi="Tahoma" w:cs="Tahoma"/>
          <w:sz w:val="20"/>
        </w:rPr>
      </w:pPr>
      <w:r w:rsidRPr="005E460E">
        <w:rPr>
          <w:rFonts w:ascii="Tahoma" w:hAnsi="Tahoma" w:cs="Tahoma"/>
          <w:sz w:val="20"/>
        </w:rPr>
        <w:t xml:space="preserve"> </w:t>
      </w:r>
    </w:p>
    <w:p w:rsidR="00834BD1" w:rsidRPr="001A50BE" w:rsidRDefault="00834BD1" w:rsidP="00834BD1">
      <w:pPr>
        <w:spacing w:after="0"/>
        <w:rPr>
          <w:rFonts w:cs="Tahoma"/>
          <w:b/>
          <w:color w:val="F6A01A"/>
        </w:rPr>
      </w:pPr>
      <w:r w:rsidRPr="001A50BE">
        <w:rPr>
          <w:rFonts w:cs="Tahoma"/>
          <w:b/>
          <w:color w:val="F6A01A"/>
        </w:rPr>
        <w:t>Outcomes:</w:t>
      </w:r>
    </w:p>
    <w:p w:rsidR="00E16845" w:rsidRDefault="00834BD1" w:rsidP="00713FA4">
      <w:pPr>
        <w:pStyle w:val="Default"/>
        <w:numPr>
          <w:ilvl w:val="0"/>
          <w:numId w:val="22"/>
        </w:numPr>
        <w:rPr>
          <w:rFonts w:ascii="Minion Pro" w:eastAsia="Cambria" w:hAnsi="Minion Pro" w:cs="Minion Pro"/>
        </w:rPr>
      </w:pPr>
      <w:r w:rsidRPr="005E460E">
        <w:rPr>
          <w:rFonts w:ascii="Tahoma" w:hAnsi="Tahoma" w:cs="Tahoma"/>
          <w:sz w:val="20"/>
        </w:rPr>
        <w:t xml:space="preserve">According to a </w:t>
      </w:r>
      <w:r w:rsidR="00237F9C">
        <w:rPr>
          <w:rFonts w:ascii="Tahoma" w:hAnsi="Tahoma" w:cs="Tahoma"/>
          <w:sz w:val="20"/>
        </w:rPr>
        <w:t xml:space="preserve">2011 </w:t>
      </w:r>
      <w:r w:rsidRPr="005E460E">
        <w:rPr>
          <w:rFonts w:ascii="Tahoma" w:hAnsi="Tahoma" w:cs="Tahoma"/>
          <w:sz w:val="20"/>
        </w:rPr>
        <w:t xml:space="preserve">study conducted by University of Virginia’s Darden School of Business and Latino Community Credit Union, each time LCCU opened new branch offices with its explicit strategy to serve Latinos, the surrounding community experienced an </w:t>
      </w:r>
      <w:r w:rsidRPr="00713FA4">
        <w:rPr>
          <w:rFonts w:ascii="Tahoma" w:hAnsi="Tahoma" w:cs="Tahoma"/>
          <w:color w:val="000000" w:themeColor="text1"/>
          <w:sz w:val="20"/>
          <w:szCs w:val="20"/>
        </w:rPr>
        <w:t xml:space="preserve">average </w:t>
      </w:r>
      <w:r w:rsidR="001F0BF5" w:rsidRPr="00713FA4">
        <w:rPr>
          <w:rFonts w:ascii="Tahoma" w:hAnsi="Tahoma" w:cs="Tahoma"/>
          <w:color w:val="000000" w:themeColor="text1"/>
          <w:sz w:val="20"/>
          <w:szCs w:val="20"/>
        </w:rPr>
        <w:t>4.2</w:t>
      </w:r>
      <w:r w:rsidRPr="00713FA4">
        <w:rPr>
          <w:rFonts w:ascii="Tahoma" w:hAnsi="Tahoma" w:cs="Tahoma"/>
          <w:color w:val="000000" w:themeColor="text1"/>
          <w:sz w:val="20"/>
          <w:szCs w:val="20"/>
        </w:rPr>
        <w:t xml:space="preserve">% reduction in armed robberies </w:t>
      </w:r>
      <w:r w:rsidR="001F0BF5" w:rsidRPr="00713FA4">
        <w:rPr>
          <w:rFonts w:ascii="Tahoma" w:hAnsi="Tahoma" w:cs="Tahoma"/>
          <w:color w:val="000000" w:themeColor="text1"/>
          <w:sz w:val="20"/>
          <w:szCs w:val="20"/>
        </w:rPr>
        <w:t xml:space="preserve">(and 22.6% in the Charlotte region </w:t>
      </w:r>
      <w:r w:rsidR="002B29CA" w:rsidRPr="00713FA4">
        <w:rPr>
          <w:rFonts w:ascii="Tahoma" w:hAnsi="Tahoma" w:cs="Tahoma"/>
          <w:color w:val="000000" w:themeColor="text1"/>
          <w:sz w:val="20"/>
          <w:szCs w:val="20"/>
        </w:rPr>
        <w:t>specifically),</w:t>
      </w:r>
      <w:r w:rsidR="00237F9C">
        <w:rPr>
          <w:rFonts w:ascii="Tahoma" w:hAnsi="Tahoma" w:cs="Tahoma"/>
          <w:color w:val="000000" w:themeColor="text1"/>
          <w:sz w:val="20"/>
          <w:szCs w:val="20"/>
        </w:rPr>
        <w:t xml:space="preserve"> </w:t>
      </w:r>
      <w:r w:rsidRPr="00713FA4">
        <w:rPr>
          <w:rFonts w:ascii="Tahoma" w:hAnsi="Tahoma" w:cs="Tahoma"/>
          <w:color w:val="000000" w:themeColor="text1"/>
          <w:sz w:val="20"/>
          <w:szCs w:val="20"/>
        </w:rPr>
        <w:t>a 3.8% increase in overall property values</w:t>
      </w:r>
      <w:r w:rsidR="002B29CA" w:rsidRPr="00713FA4">
        <w:rPr>
          <w:rFonts w:ascii="Tahoma" w:hAnsi="Tahoma" w:cs="Tahoma"/>
          <w:color w:val="000000" w:themeColor="text1"/>
          <w:sz w:val="20"/>
          <w:szCs w:val="20"/>
        </w:rPr>
        <w:t>,</w:t>
      </w:r>
      <w:bookmarkStart w:id="0" w:name="_GoBack"/>
      <w:bookmarkEnd w:id="0"/>
      <w:r w:rsidR="003B020B" w:rsidRPr="00713FA4">
        <w:rPr>
          <w:rFonts w:ascii="Tahoma" w:eastAsia="Cambria" w:hAnsi="Tahoma" w:cs="Tahoma"/>
          <w:color w:val="000000" w:themeColor="text1"/>
          <w:sz w:val="20"/>
          <w:szCs w:val="20"/>
        </w:rPr>
        <w:t xml:space="preserve"> and the appreciation of </w:t>
      </w:r>
      <w:r w:rsidR="003B020B" w:rsidRPr="00713FA4">
        <w:rPr>
          <w:rFonts w:ascii="Tahoma" w:eastAsia="Cambria" w:hAnsi="Tahoma" w:cs="Tahoma"/>
          <w:bCs/>
          <w:color w:val="000000" w:themeColor="text1"/>
          <w:sz w:val="20"/>
          <w:szCs w:val="20"/>
        </w:rPr>
        <w:t>$9.8 billion</w:t>
      </w:r>
      <w:r w:rsidR="003B020B" w:rsidRPr="00713FA4">
        <w:rPr>
          <w:rFonts w:ascii="Tahoma" w:eastAsia="Cambria" w:hAnsi="Tahoma" w:cs="Tahoma"/>
          <w:b/>
          <w:bCs/>
          <w:color w:val="000000" w:themeColor="text1"/>
          <w:sz w:val="20"/>
          <w:szCs w:val="20"/>
        </w:rPr>
        <w:t xml:space="preserve"> </w:t>
      </w:r>
      <w:r w:rsidR="003B020B" w:rsidRPr="00713FA4">
        <w:rPr>
          <w:rFonts w:ascii="Tahoma" w:eastAsia="Cambria" w:hAnsi="Tahoma" w:cs="Tahoma"/>
          <w:color w:val="000000" w:themeColor="text1"/>
          <w:sz w:val="20"/>
          <w:szCs w:val="20"/>
        </w:rPr>
        <w:t>in taxable real estate value to the presence of LCCU branches.</w:t>
      </w:r>
    </w:p>
    <w:p w:rsidR="00834BD1" w:rsidRPr="005E460E" w:rsidRDefault="00237F9C" w:rsidP="00834BD1">
      <w:pPr>
        <w:pStyle w:val="ListParagraph"/>
        <w:numPr>
          <w:ilvl w:val="0"/>
          <w:numId w:val="19"/>
        </w:numPr>
        <w:spacing w:after="0"/>
        <w:rPr>
          <w:rFonts w:ascii="Tahoma" w:hAnsi="Tahoma" w:cs="Tahoma"/>
          <w:sz w:val="20"/>
        </w:rPr>
      </w:pPr>
      <w:r>
        <w:rPr>
          <w:rFonts w:ascii="Tahoma" w:hAnsi="Tahoma" w:cs="Tahoma"/>
          <w:sz w:val="20"/>
        </w:rPr>
        <w:t xml:space="preserve">The study found that </w:t>
      </w:r>
      <w:r w:rsidR="00834BD1" w:rsidRPr="005E460E">
        <w:rPr>
          <w:rFonts w:ascii="Tahoma" w:hAnsi="Tahoma" w:cs="Tahoma"/>
          <w:sz w:val="20"/>
        </w:rPr>
        <w:t xml:space="preserve">LCCU </w:t>
      </w:r>
      <w:r>
        <w:rPr>
          <w:rFonts w:ascii="Tahoma" w:hAnsi="Tahoma" w:cs="Tahoma"/>
          <w:sz w:val="20"/>
        </w:rPr>
        <w:t>members carried less cash because they had</w:t>
      </w:r>
      <w:r w:rsidR="00834BD1" w:rsidRPr="005E460E">
        <w:rPr>
          <w:rFonts w:ascii="Tahoma" w:hAnsi="Tahoma" w:cs="Tahoma"/>
          <w:sz w:val="20"/>
        </w:rPr>
        <w:t xml:space="preserve"> a safe and secure place to deposit their mone</w:t>
      </w:r>
      <w:r>
        <w:rPr>
          <w:rFonts w:ascii="Tahoma" w:hAnsi="Tahoma" w:cs="Tahoma"/>
          <w:sz w:val="20"/>
        </w:rPr>
        <w:t>y, which</w:t>
      </w:r>
      <w:r w:rsidR="00834BD1" w:rsidRPr="005E460E">
        <w:rPr>
          <w:rFonts w:ascii="Tahoma" w:hAnsi="Tahoma" w:cs="Tahoma"/>
          <w:sz w:val="20"/>
        </w:rPr>
        <w:t xml:space="preserve"> decreased the likelihood that they would become victims of multiple incidents of robbery or theft. </w:t>
      </w:r>
    </w:p>
    <w:p w:rsidR="00834BD1" w:rsidRDefault="00834BD1" w:rsidP="00834BD1">
      <w:pPr>
        <w:pStyle w:val="ListParagraph"/>
        <w:numPr>
          <w:ilvl w:val="0"/>
          <w:numId w:val="19"/>
        </w:numPr>
        <w:spacing w:after="0"/>
        <w:rPr>
          <w:rFonts w:ascii="Tahoma" w:hAnsi="Tahoma" w:cs="Tahoma"/>
          <w:sz w:val="20"/>
        </w:rPr>
      </w:pPr>
      <w:r w:rsidRPr="005E460E">
        <w:rPr>
          <w:rFonts w:ascii="Tahoma" w:hAnsi="Tahoma" w:cs="Tahoma"/>
          <w:sz w:val="20"/>
        </w:rPr>
        <w:lastRenderedPageBreak/>
        <w:t>LCCU</w:t>
      </w:r>
      <w:r w:rsidR="00237F9C">
        <w:rPr>
          <w:rFonts w:ascii="Tahoma" w:hAnsi="Tahoma" w:cs="Tahoma"/>
          <w:sz w:val="20"/>
        </w:rPr>
        <w:t>, therefore,</w:t>
      </w:r>
      <w:r w:rsidRPr="005E460E">
        <w:rPr>
          <w:rFonts w:ascii="Tahoma" w:hAnsi="Tahoma" w:cs="Tahoma"/>
          <w:sz w:val="20"/>
        </w:rPr>
        <w:t xml:space="preserve"> improves the overall safety and cumulative wealth of the communities in its Target Market as well as improving the financial health and quality of life of the Hispanic community.</w:t>
      </w:r>
    </w:p>
    <w:p w:rsidR="00855390" w:rsidRDefault="00855390" w:rsidP="00855390">
      <w:pPr>
        <w:pStyle w:val="ListParagraph"/>
        <w:spacing w:after="0"/>
        <w:rPr>
          <w:rFonts w:ascii="Tahoma" w:hAnsi="Tahoma" w:cs="Tahoma"/>
          <w:sz w:val="20"/>
        </w:rPr>
      </w:pPr>
    </w:p>
    <w:p w:rsidR="00855390" w:rsidRPr="005E460E" w:rsidRDefault="00855390" w:rsidP="00855390">
      <w:pPr>
        <w:pStyle w:val="ListParagraph"/>
        <w:spacing w:after="0"/>
        <w:rPr>
          <w:rFonts w:ascii="Tahoma" w:hAnsi="Tahoma" w:cs="Tahoma"/>
          <w:sz w:val="20"/>
        </w:rPr>
      </w:pPr>
    </w:p>
    <w:p w:rsidR="00834BD1" w:rsidRPr="005E460E" w:rsidRDefault="00834BD1" w:rsidP="00834BD1">
      <w:pPr>
        <w:spacing w:after="0"/>
        <w:rPr>
          <w:rFonts w:cs="Tahoma"/>
          <w:b/>
          <w:color w:val="174A7C"/>
        </w:rPr>
      </w:pPr>
      <w:r w:rsidRPr="005E460E">
        <w:rPr>
          <w:rFonts w:cs="Tahoma"/>
          <w:b/>
          <w:color w:val="174A7C"/>
        </w:rPr>
        <w:t xml:space="preserve">Organization Profile: </w:t>
      </w:r>
    </w:p>
    <w:p w:rsidR="00834BD1" w:rsidRDefault="00834BD1" w:rsidP="00834BD1">
      <w:pPr>
        <w:spacing w:after="0"/>
        <w:rPr>
          <w:rFonts w:cs="Tahoma"/>
          <w:b/>
          <w:color w:val="E46C0A"/>
        </w:rPr>
      </w:pPr>
    </w:p>
    <w:p w:rsidR="00834BD1" w:rsidRPr="005E460E" w:rsidRDefault="00834BD1" w:rsidP="00834BD1">
      <w:pPr>
        <w:spacing w:after="0"/>
        <w:rPr>
          <w:rFonts w:cs="Tahoma"/>
          <w:sz w:val="20"/>
          <w:szCs w:val="20"/>
        </w:rPr>
      </w:pPr>
      <w:r w:rsidRPr="005E460E">
        <w:rPr>
          <w:rFonts w:cs="Tahoma"/>
          <w:b/>
          <w:color w:val="F6A01A"/>
          <w:sz w:val="20"/>
          <w:szCs w:val="20"/>
        </w:rPr>
        <w:t>Founded:</w:t>
      </w:r>
      <w:r w:rsidR="005E460E">
        <w:rPr>
          <w:rFonts w:cs="Tahoma"/>
          <w:sz w:val="20"/>
          <w:szCs w:val="20"/>
        </w:rPr>
        <w:t xml:space="preserve"> </w:t>
      </w:r>
      <w:r w:rsidR="005E460E">
        <w:rPr>
          <w:rFonts w:cs="Tahoma"/>
          <w:sz w:val="20"/>
          <w:szCs w:val="20"/>
        </w:rPr>
        <w:tab/>
      </w:r>
      <w:r w:rsidR="005E460E">
        <w:rPr>
          <w:rFonts w:cs="Tahoma"/>
          <w:sz w:val="20"/>
          <w:szCs w:val="20"/>
        </w:rPr>
        <w:tab/>
      </w:r>
      <w:r w:rsidRPr="005E460E">
        <w:rPr>
          <w:rFonts w:cs="Tahoma"/>
          <w:sz w:val="20"/>
          <w:szCs w:val="20"/>
        </w:rPr>
        <w:t>2000</w:t>
      </w:r>
    </w:p>
    <w:p w:rsidR="00834BD1" w:rsidRPr="005E460E" w:rsidRDefault="00834BD1" w:rsidP="00834BD1">
      <w:pPr>
        <w:spacing w:before="120" w:after="0"/>
        <w:rPr>
          <w:rFonts w:cs="Tahoma"/>
          <w:sz w:val="20"/>
          <w:szCs w:val="20"/>
        </w:rPr>
      </w:pPr>
      <w:r w:rsidRPr="005E460E">
        <w:rPr>
          <w:rFonts w:cs="Tahoma"/>
          <w:b/>
          <w:color w:val="F6A01A"/>
          <w:sz w:val="20"/>
          <w:szCs w:val="20"/>
        </w:rPr>
        <w:t>Type of CDFI:</w:t>
      </w:r>
      <w:r w:rsidRPr="005E460E">
        <w:rPr>
          <w:rFonts w:cs="Tahoma"/>
          <w:color w:val="F6A01A"/>
          <w:sz w:val="20"/>
          <w:szCs w:val="20"/>
        </w:rPr>
        <w:t xml:space="preserve"> </w:t>
      </w:r>
      <w:r w:rsidRPr="005E460E">
        <w:rPr>
          <w:rFonts w:cs="Tahoma"/>
          <w:sz w:val="20"/>
          <w:szCs w:val="20"/>
        </w:rPr>
        <w:tab/>
      </w:r>
      <w:r w:rsidRPr="005E460E">
        <w:rPr>
          <w:rFonts w:cs="Tahoma"/>
          <w:sz w:val="20"/>
          <w:szCs w:val="20"/>
        </w:rPr>
        <w:tab/>
        <w:t>Community Development Credit Union</w:t>
      </w:r>
    </w:p>
    <w:p w:rsidR="00834BD1" w:rsidRPr="005E460E" w:rsidRDefault="00834BD1" w:rsidP="005E460E">
      <w:pPr>
        <w:spacing w:before="120" w:after="0"/>
        <w:ind w:left="2160" w:hanging="2160"/>
        <w:rPr>
          <w:rFonts w:cs="Tahoma"/>
          <w:sz w:val="20"/>
          <w:szCs w:val="20"/>
        </w:rPr>
      </w:pPr>
      <w:r w:rsidRPr="005E460E">
        <w:rPr>
          <w:rFonts w:cs="Tahoma"/>
          <w:b/>
          <w:color w:val="F6A01A"/>
          <w:sz w:val="20"/>
          <w:szCs w:val="20"/>
        </w:rPr>
        <w:t>Target Market:</w:t>
      </w:r>
      <w:r w:rsidR="005E460E">
        <w:rPr>
          <w:rFonts w:cs="Tahoma"/>
          <w:sz w:val="20"/>
          <w:szCs w:val="20"/>
        </w:rPr>
        <w:t xml:space="preserve"> </w:t>
      </w:r>
      <w:r w:rsidR="005E460E">
        <w:rPr>
          <w:rFonts w:cs="Tahoma"/>
          <w:sz w:val="20"/>
          <w:szCs w:val="20"/>
        </w:rPr>
        <w:tab/>
      </w:r>
      <w:r w:rsidRPr="005E460E">
        <w:rPr>
          <w:rFonts w:cs="Tahoma"/>
          <w:sz w:val="20"/>
          <w:szCs w:val="20"/>
        </w:rPr>
        <w:t>Individuals (especially low-income and previously unbanked), microbusinesses</w:t>
      </w:r>
      <w:r w:rsidR="001F0BF5">
        <w:rPr>
          <w:rFonts w:cs="Tahoma"/>
          <w:sz w:val="20"/>
          <w:szCs w:val="20"/>
        </w:rPr>
        <w:t xml:space="preserve"> (sole proprietors)</w:t>
      </w:r>
      <w:r w:rsidRPr="005E460E">
        <w:rPr>
          <w:rFonts w:cs="Tahoma"/>
          <w:sz w:val="20"/>
          <w:szCs w:val="20"/>
        </w:rPr>
        <w:t>, nonprofits, and institutions across the state of North Carolina</w:t>
      </w:r>
    </w:p>
    <w:p w:rsidR="00834BD1" w:rsidRDefault="00834BD1" w:rsidP="00834BD1">
      <w:pPr>
        <w:spacing w:before="120" w:after="0"/>
        <w:rPr>
          <w:rFonts w:cs="Tahoma"/>
          <w:sz w:val="20"/>
          <w:szCs w:val="20"/>
        </w:rPr>
      </w:pPr>
      <w:r w:rsidRPr="005E460E">
        <w:rPr>
          <w:rFonts w:cs="Tahoma"/>
          <w:b/>
          <w:color w:val="F6A01A"/>
          <w:sz w:val="20"/>
          <w:szCs w:val="20"/>
        </w:rPr>
        <w:t>Types of Lending:</w:t>
      </w:r>
      <w:r w:rsidRPr="005E460E">
        <w:rPr>
          <w:rFonts w:cs="Tahoma"/>
          <w:b/>
          <w:color w:val="E46C0A"/>
          <w:sz w:val="20"/>
          <w:szCs w:val="20"/>
        </w:rPr>
        <w:t xml:space="preserve"> </w:t>
      </w:r>
      <w:r w:rsidRPr="005E460E">
        <w:rPr>
          <w:rFonts w:cs="Tahoma"/>
          <w:b/>
          <w:color w:val="E46C0A"/>
          <w:sz w:val="20"/>
          <w:szCs w:val="20"/>
        </w:rPr>
        <w:tab/>
      </w:r>
      <w:r w:rsidRPr="005E460E">
        <w:rPr>
          <w:rFonts w:cs="Tahoma"/>
          <w:sz w:val="20"/>
          <w:szCs w:val="20"/>
        </w:rPr>
        <w:t>Housing, Consumer</w:t>
      </w:r>
    </w:p>
    <w:p w:rsidR="00834BD1" w:rsidRPr="005E460E" w:rsidRDefault="00F43953" w:rsidP="00F43953">
      <w:pPr>
        <w:spacing w:before="120" w:after="0"/>
        <w:rPr>
          <w:rFonts w:cs="Tahoma"/>
          <w:sz w:val="20"/>
          <w:szCs w:val="20"/>
        </w:rPr>
      </w:pPr>
      <w:r w:rsidRPr="00F43953">
        <w:rPr>
          <w:rFonts w:cs="Tahoma"/>
          <w:b/>
          <w:color w:val="F6A01A"/>
          <w:sz w:val="20"/>
          <w:szCs w:val="20"/>
        </w:rPr>
        <w:t>Loan Products:</w:t>
      </w:r>
      <w:r>
        <w:rPr>
          <w:rFonts w:cs="Tahoma"/>
          <w:sz w:val="20"/>
          <w:szCs w:val="20"/>
        </w:rPr>
        <w:t xml:space="preserve"> </w:t>
      </w:r>
      <w:r>
        <w:rPr>
          <w:rFonts w:cs="Tahoma"/>
          <w:sz w:val="20"/>
          <w:szCs w:val="20"/>
        </w:rPr>
        <w:tab/>
        <w:t xml:space="preserve">Personal, Credit Card, Credit Builder, Auto, Mortgage, Dreamer, </w:t>
      </w:r>
      <w:proofErr w:type="spellStart"/>
      <w:r>
        <w:rPr>
          <w:rFonts w:cs="Tahoma"/>
          <w:sz w:val="20"/>
          <w:szCs w:val="20"/>
        </w:rPr>
        <w:t>Microbusiness</w:t>
      </w:r>
      <w:proofErr w:type="spellEnd"/>
    </w:p>
    <w:p w:rsidR="00834BD1" w:rsidRPr="005E460E" w:rsidRDefault="00834BD1" w:rsidP="00F43953">
      <w:pPr>
        <w:spacing w:before="120" w:after="0"/>
        <w:rPr>
          <w:rFonts w:cs="Tahoma"/>
          <w:sz w:val="20"/>
          <w:szCs w:val="20"/>
        </w:rPr>
      </w:pPr>
      <w:r w:rsidRPr="005E460E">
        <w:rPr>
          <w:rFonts w:cs="Tahoma"/>
          <w:b/>
          <w:color w:val="F6A01A"/>
          <w:sz w:val="20"/>
          <w:szCs w:val="20"/>
        </w:rPr>
        <w:t>Asset Size:</w:t>
      </w:r>
      <w:r w:rsidR="005E460E">
        <w:rPr>
          <w:rFonts w:cs="Tahoma"/>
          <w:sz w:val="20"/>
          <w:szCs w:val="20"/>
        </w:rPr>
        <w:t xml:space="preserve"> </w:t>
      </w:r>
      <w:r w:rsidR="005E460E">
        <w:rPr>
          <w:rFonts w:cs="Tahoma"/>
          <w:sz w:val="20"/>
          <w:szCs w:val="20"/>
        </w:rPr>
        <w:tab/>
      </w:r>
      <w:r w:rsidR="005E460E">
        <w:rPr>
          <w:rFonts w:cs="Tahoma"/>
          <w:sz w:val="20"/>
          <w:szCs w:val="20"/>
        </w:rPr>
        <w:tab/>
      </w:r>
      <w:r w:rsidRPr="005E460E">
        <w:rPr>
          <w:rFonts w:cs="Tahoma"/>
          <w:sz w:val="20"/>
          <w:szCs w:val="20"/>
        </w:rPr>
        <w:t>$112,993,862 (FY 2012)</w:t>
      </w:r>
    </w:p>
    <w:p w:rsidR="00DC1D9D" w:rsidRPr="00237F9C" w:rsidRDefault="00834BD1" w:rsidP="00237F9C">
      <w:pPr>
        <w:spacing w:before="120" w:after="0"/>
        <w:rPr>
          <w:rFonts w:cs="Tahoma"/>
          <w:sz w:val="20"/>
          <w:szCs w:val="20"/>
        </w:rPr>
      </w:pPr>
      <w:r w:rsidRPr="005E460E">
        <w:rPr>
          <w:rFonts w:cs="Tahoma"/>
          <w:b/>
          <w:color w:val="F6A01A"/>
          <w:sz w:val="20"/>
          <w:szCs w:val="20"/>
        </w:rPr>
        <w:t>No. of Employees:</w:t>
      </w:r>
      <w:r w:rsidRPr="005E460E">
        <w:rPr>
          <w:rFonts w:cs="Tahoma"/>
          <w:color w:val="F6A01A"/>
          <w:sz w:val="20"/>
          <w:szCs w:val="20"/>
        </w:rPr>
        <w:t xml:space="preserve"> </w:t>
      </w:r>
      <w:r w:rsidRPr="005E460E">
        <w:rPr>
          <w:rFonts w:cs="Tahoma"/>
          <w:sz w:val="20"/>
          <w:szCs w:val="20"/>
        </w:rPr>
        <w:tab/>
      </w:r>
      <w:r w:rsidR="00713FA4" w:rsidRPr="005E460E">
        <w:rPr>
          <w:rFonts w:cs="Tahoma"/>
          <w:sz w:val="20"/>
          <w:szCs w:val="20"/>
        </w:rPr>
        <w:t>6</w:t>
      </w:r>
      <w:r w:rsidR="00713FA4">
        <w:rPr>
          <w:rFonts w:cs="Tahoma"/>
          <w:sz w:val="20"/>
          <w:szCs w:val="20"/>
        </w:rPr>
        <w:t>8</w:t>
      </w:r>
      <w:r w:rsidR="00713FA4" w:rsidRPr="005E460E">
        <w:rPr>
          <w:rFonts w:cs="Tahoma"/>
          <w:sz w:val="20"/>
          <w:szCs w:val="20"/>
        </w:rPr>
        <w:t xml:space="preserve"> </w:t>
      </w:r>
      <w:r w:rsidRPr="005E460E">
        <w:rPr>
          <w:rFonts w:cs="Tahoma"/>
          <w:sz w:val="20"/>
          <w:szCs w:val="20"/>
        </w:rPr>
        <w:t>(FY 201</w:t>
      </w:r>
      <w:r w:rsidR="00713FA4">
        <w:rPr>
          <w:rFonts w:cs="Tahoma"/>
          <w:sz w:val="20"/>
          <w:szCs w:val="20"/>
        </w:rPr>
        <w:t>2</w:t>
      </w:r>
      <w:r w:rsidRPr="005E460E">
        <w:rPr>
          <w:rFonts w:cs="Tahoma"/>
          <w:sz w:val="20"/>
          <w:szCs w:val="20"/>
        </w:rPr>
        <w:t>)</w:t>
      </w:r>
    </w:p>
    <w:sectPr w:rsidR="00DC1D9D" w:rsidRPr="00237F9C" w:rsidSect="00B11F30">
      <w:headerReference w:type="even" r:id="rId9"/>
      <w:headerReference w:type="default" r:id="rId10"/>
      <w:footerReference w:type="even" r:id="rId11"/>
      <w:footerReference w:type="default" r:id="rId12"/>
      <w:headerReference w:type="first" r:id="rId13"/>
      <w:footerReference w:type="first" r:id="rId14"/>
      <w:pgSz w:w="12240" w:h="15840"/>
      <w:pgMar w:top="2448" w:right="1440" w:bottom="180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F0C" w:rsidRDefault="008C7F0C" w:rsidP="005468AD">
      <w:pPr>
        <w:spacing w:before="0" w:after="0"/>
      </w:pPr>
      <w:r>
        <w:separator/>
      </w:r>
    </w:p>
  </w:endnote>
  <w:endnote w:type="continuationSeparator" w:id="0">
    <w:p w:rsidR="008C7F0C" w:rsidRDefault="008C7F0C" w:rsidP="005468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Default="00B11F30">
    <w:pPr>
      <w:pStyle w:val="Footer"/>
    </w:pPr>
    <w:r w:rsidRPr="00B11F30">
      <w:rPr>
        <w:noProof/>
      </w:rPr>
      <w:drawing>
        <wp:anchor distT="0" distB="0" distL="114300" distR="114300" simplePos="0" relativeHeight="251674624" behindDoc="0" locked="0" layoutInCell="1" allowOverlap="1">
          <wp:simplePos x="0" y="0"/>
          <wp:positionH relativeFrom="margin">
            <wp:align>center</wp:align>
          </wp:positionH>
          <wp:positionV relativeFrom="paragraph">
            <wp:posOffset>-577092</wp:posOffset>
          </wp:positionV>
          <wp:extent cx="7214264" cy="996287"/>
          <wp:effectExtent l="19050" t="0" r="5686" b="0"/>
          <wp:wrapNone/>
          <wp:docPr id="3"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4264" cy="996287"/>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9E639E" w:rsidRDefault="00834BD1" w:rsidP="00AB7054">
    <w:pPr>
      <w:jc w:val="center"/>
      <w:rPr>
        <w:b/>
        <w:color w:val="17365D"/>
        <w:sz w:val="22"/>
      </w:rPr>
    </w:pPr>
    <w:r>
      <w:rPr>
        <w:b/>
        <w:noProof/>
        <w:color w:val="17365D"/>
      </w:rPr>
      <w:drawing>
        <wp:anchor distT="0" distB="0" distL="114300" distR="114300" simplePos="0" relativeHeight="251666432" behindDoc="0" locked="0" layoutInCell="1" allowOverlap="1">
          <wp:simplePos x="0" y="0"/>
          <wp:positionH relativeFrom="margin">
            <wp:align>center</wp:align>
          </wp:positionH>
          <wp:positionV relativeFrom="paragraph">
            <wp:posOffset>-208280</wp:posOffset>
          </wp:positionV>
          <wp:extent cx="7219950" cy="1000125"/>
          <wp:effectExtent l="19050" t="0" r="0" b="0"/>
          <wp:wrapNone/>
          <wp:docPr id="11"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267024" w:rsidRPr="009A6419" w:rsidRDefault="0052059B"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267024" w:rsidRPr="009A6419">
      <w:rPr>
        <w:rStyle w:val="PageNumber"/>
        <w:sz w:val="20"/>
        <w:szCs w:val="20"/>
      </w:rPr>
      <w:instrText xml:space="preserve">PAGE  </w:instrText>
    </w:r>
    <w:r w:rsidRPr="009A6419">
      <w:rPr>
        <w:rStyle w:val="PageNumber"/>
        <w:sz w:val="20"/>
        <w:szCs w:val="20"/>
      </w:rPr>
      <w:fldChar w:fldCharType="separate"/>
    </w:r>
    <w:r w:rsidR="00F43953">
      <w:rPr>
        <w:rStyle w:val="PageNumber"/>
        <w:noProof/>
        <w:sz w:val="20"/>
        <w:szCs w:val="20"/>
      </w:rPr>
      <w:t>1</w:t>
    </w:r>
    <w:r w:rsidRPr="009A6419">
      <w:rPr>
        <w:rStyle w:val="PageNumber"/>
        <w:sz w:val="20"/>
        <w:szCs w:val="20"/>
      </w:rPr>
      <w:fldChar w:fldCharType="end"/>
    </w:r>
  </w:p>
  <w:p w:rsidR="00267024" w:rsidRPr="009E639E" w:rsidRDefault="00267024" w:rsidP="00AB7054">
    <w:pPr>
      <w:jc w:val="center"/>
      <w:rPr>
        <w:b/>
        <w:color w:val="17365D"/>
        <w:sz w:val="22"/>
      </w:rPr>
    </w:pPr>
  </w:p>
  <w:p w:rsidR="00267024" w:rsidRPr="009E639E" w:rsidRDefault="00267024"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9E639E" w:rsidRDefault="00834BD1" w:rsidP="009A6419">
    <w:pPr>
      <w:rPr>
        <w:b/>
        <w:color w:val="17365D"/>
        <w:sz w:val="22"/>
      </w:rPr>
    </w:pPr>
    <w:r>
      <w:rPr>
        <w:b/>
        <w:noProof/>
        <w:color w:val="17365D"/>
      </w:rPr>
      <w:drawing>
        <wp:anchor distT="0" distB="0" distL="114300" distR="114300" simplePos="0" relativeHeight="251664384" behindDoc="0" locked="0" layoutInCell="1" allowOverlap="1">
          <wp:simplePos x="0" y="0"/>
          <wp:positionH relativeFrom="margin">
            <wp:align>center</wp:align>
          </wp:positionH>
          <wp:positionV relativeFrom="paragraph">
            <wp:posOffset>31750</wp:posOffset>
          </wp:positionV>
          <wp:extent cx="7219950" cy="1000125"/>
          <wp:effectExtent l="19050" t="0" r="0" b="0"/>
          <wp:wrapNone/>
          <wp:docPr id="10" name="Picture 6"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267024" w:rsidRPr="009A6419" w:rsidRDefault="0052059B"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267024" w:rsidRPr="009A6419">
      <w:rPr>
        <w:rStyle w:val="PageNumber"/>
        <w:sz w:val="20"/>
        <w:szCs w:val="20"/>
      </w:rPr>
      <w:instrText xml:space="preserve">PAGE  </w:instrText>
    </w:r>
    <w:r w:rsidRPr="009A6419">
      <w:rPr>
        <w:rStyle w:val="PageNumber"/>
        <w:sz w:val="20"/>
        <w:szCs w:val="20"/>
      </w:rPr>
      <w:fldChar w:fldCharType="separate"/>
    </w:r>
    <w:r w:rsidR="0008693A">
      <w:rPr>
        <w:rStyle w:val="PageNumber"/>
        <w:noProof/>
        <w:sz w:val="20"/>
        <w:szCs w:val="20"/>
      </w:rPr>
      <w:t>1</w:t>
    </w:r>
    <w:r w:rsidRPr="009A6419">
      <w:rPr>
        <w:rStyle w:val="PageNumber"/>
        <w:sz w:val="20"/>
        <w:szCs w:val="20"/>
      </w:rPr>
      <w:fldChar w:fldCharType="end"/>
    </w:r>
  </w:p>
  <w:p w:rsidR="00267024" w:rsidRPr="009E639E" w:rsidRDefault="00267024" w:rsidP="009A6419">
    <w:pPr>
      <w:rPr>
        <w:b/>
        <w:color w:val="17365D"/>
        <w:sz w:val="22"/>
      </w:rPr>
    </w:pPr>
  </w:p>
  <w:p w:rsidR="00267024" w:rsidRPr="009E639E" w:rsidRDefault="00267024" w:rsidP="009A6419">
    <w:pPr>
      <w:jc w:val="center"/>
      <w:rPr>
        <w:b/>
        <w:color w:val="17365D"/>
        <w:sz w:val="22"/>
      </w:rPr>
    </w:pPr>
  </w:p>
  <w:p w:rsidR="00267024" w:rsidRPr="009E639E" w:rsidRDefault="00267024"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F0C" w:rsidRDefault="008C7F0C" w:rsidP="005468AD">
      <w:pPr>
        <w:spacing w:before="0" w:after="0"/>
      </w:pPr>
      <w:r>
        <w:separator/>
      </w:r>
    </w:p>
  </w:footnote>
  <w:footnote w:type="continuationSeparator" w:id="0">
    <w:p w:rsidR="008C7F0C" w:rsidRDefault="008C7F0C" w:rsidP="005468A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4E" w:rsidRDefault="000807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AB7054" w:rsidRDefault="00834BD1" w:rsidP="00AB7054">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-228600</wp:posOffset>
          </wp:positionV>
          <wp:extent cx="7143750" cy="8477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Default="00834BD1" w:rsidP="00267024">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-226060</wp:posOffset>
          </wp:positionV>
          <wp:extent cx="7143750" cy="8477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580"/>
    <w:multiLevelType w:val="hybridMultilevel"/>
    <w:tmpl w:val="15D4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9E4D52"/>
    <w:multiLevelType w:val="hybridMultilevel"/>
    <w:tmpl w:val="F034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6">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1222AB7"/>
    <w:multiLevelType w:val="hybridMultilevel"/>
    <w:tmpl w:val="B19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4E4FD1"/>
    <w:multiLevelType w:val="hybridMultilevel"/>
    <w:tmpl w:val="82C41A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11"/>
  </w:num>
  <w:num w:numId="3">
    <w:abstractNumId w:val="17"/>
  </w:num>
  <w:num w:numId="4">
    <w:abstractNumId w:val="19"/>
  </w:num>
  <w:num w:numId="5">
    <w:abstractNumId w:val="4"/>
  </w:num>
  <w:num w:numId="6">
    <w:abstractNumId w:val="10"/>
  </w:num>
  <w:num w:numId="7">
    <w:abstractNumId w:val="5"/>
  </w:num>
  <w:num w:numId="8">
    <w:abstractNumId w:val="15"/>
  </w:num>
  <w:num w:numId="9">
    <w:abstractNumId w:val="1"/>
  </w:num>
  <w:num w:numId="10">
    <w:abstractNumId w:val="13"/>
  </w:num>
  <w:num w:numId="11">
    <w:abstractNumId w:val="16"/>
  </w:num>
  <w:num w:numId="12">
    <w:abstractNumId w:val="3"/>
  </w:num>
  <w:num w:numId="13">
    <w:abstractNumId w:val="6"/>
  </w:num>
  <w:num w:numId="14">
    <w:abstractNumId w:val="8"/>
  </w:num>
  <w:num w:numId="15">
    <w:abstractNumId w:val="12"/>
  </w:num>
  <w:num w:numId="16">
    <w:abstractNumId w:val="18"/>
  </w:num>
  <w:num w:numId="17">
    <w:abstractNumId w:val="7"/>
  </w:num>
  <w:num w:numId="18">
    <w:abstractNumId w:val="14"/>
  </w:num>
  <w:num w:numId="19">
    <w:abstractNumId w:val="20"/>
  </w:num>
  <w:num w:numId="20">
    <w:abstractNumId w:val="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750C26"/>
    <w:rsid w:val="0008074E"/>
    <w:rsid w:val="0008693A"/>
    <w:rsid w:val="000B7664"/>
    <w:rsid w:val="000E39A3"/>
    <w:rsid w:val="001044E7"/>
    <w:rsid w:val="0010571D"/>
    <w:rsid w:val="001A50BE"/>
    <w:rsid w:val="001F0BF5"/>
    <w:rsid w:val="00237F9C"/>
    <w:rsid w:val="0026122F"/>
    <w:rsid w:val="00267024"/>
    <w:rsid w:val="002B16F1"/>
    <w:rsid w:val="002B29CA"/>
    <w:rsid w:val="0035698C"/>
    <w:rsid w:val="003B020B"/>
    <w:rsid w:val="003C49B9"/>
    <w:rsid w:val="003E1573"/>
    <w:rsid w:val="003F4739"/>
    <w:rsid w:val="00433207"/>
    <w:rsid w:val="00446705"/>
    <w:rsid w:val="0045538E"/>
    <w:rsid w:val="004E2B9E"/>
    <w:rsid w:val="00507063"/>
    <w:rsid w:val="0052059B"/>
    <w:rsid w:val="00544514"/>
    <w:rsid w:val="005468AD"/>
    <w:rsid w:val="00550A98"/>
    <w:rsid w:val="00593B7B"/>
    <w:rsid w:val="005B4082"/>
    <w:rsid w:val="005E460E"/>
    <w:rsid w:val="005E71BE"/>
    <w:rsid w:val="005F1898"/>
    <w:rsid w:val="005F5E69"/>
    <w:rsid w:val="006600CD"/>
    <w:rsid w:val="0066088D"/>
    <w:rsid w:val="00664FFC"/>
    <w:rsid w:val="00713FA4"/>
    <w:rsid w:val="007233A4"/>
    <w:rsid w:val="00723C78"/>
    <w:rsid w:val="00750C26"/>
    <w:rsid w:val="00794837"/>
    <w:rsid w:val="008064D6"/>
    <w:rsid w:val="0081710B"/>
    <w:rsid w:val="00834BD1"/>
    <w:rsid w:val="00855390"/>
    <w:rsid w:val="00857C3D"/>
    <w:rsid w:val="008637E6"/>
    <w:rsid w:val="00875411"/>
    <w:rsid w:val="008B5C91"/>
    <w:rsid w:val="008C7F0C"/>
    <w:rsid w:val="00906074"/>
    <w:rsid w:val="009155D6"/>
    <w:rsid w:val="00943A7D"/>
    <w:rsid w:val="009A6419"/>
    <w:rsid w:val="009C0484"/>
    <w:rsid w:val="009E639E"/>
    <w:rsid w:val="00A44E29"/>
    <w:rsid w:val="00AB7054"/>
    <w:rsid w:val="00AE1D00"/>
    <w:rsid w:val="00B10A17"/>
    <w:rsid w:val="00B11F30"/>
    <w:rsid w:val="00B2416F"/>
    <w:rsid w:val="00B54960"/>
    <w:rsid w:val="00B90F5B"/>
    <w:rsid w:val="00BA7895"/>
    <w:rsid w:val="00C07D96"/>
    <w:rsid w:val="00C11857"/>
    <w:rsid w:val="00C25E20"/>
    <w:rsid w:val="00C83245"/>
    <w:rsid w:val="00CA206F"/>
    <w:rsid w:val="00CC5C7D"/>
    <w:rsid w:val="00D04736"/>
    <w:rsid w:val="00D5720C"/>
    <w:rsid w:val="00D7345A"/>
    <w:rsid w:val="00DB53D5"/>
    <w:rsid w:val="00DB6705"/>
    <w:rsid w:val="00DC1D9D"/>
    <w:rsid w:val="00DF4A01"/>
    <w:rsid w:val="00E12590"/>
    <w:rsid w:val="00E16845"/>
    <w:rsid w:val="00E22BBA"/>
    <w:rsid w:val="00E455E4"/>
    <w:rsid w:val="00E71AC2"/>
    <w:rsid w:val="00EE7880"/>
    <w:rsid w:val="00F11995"/>
    <w:rsid w:val="00F26962"/>
    <w:rsid w:val="00F35855"/>
    <w:rsid w:val="00F43953"/>
    <w:rsid w:val="00F60518"/>
    <w:rsid w:val="00F64B98"/>
    <w:rsid w:val="00F8605E"/>
    <w:rsid w:val="00FC3479"/>
    <w:rsid w:val="00FE64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642535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atinoccu.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H34TN2MWWJXZ-58-549</_dlc_DocId>
    <_dlc_DocIdUrl xmlns="1dbe7651-cd84-4392-9fac-4e185041b4e2">
      <Url>https://www.cdfifund.gov/_layouts/15/DocIdRedir.aspx?ID=H34TN2MWWJXZ-58-549</Url>
      <Description>H34TN2MWWJXZ-58-549</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Props1.xml><?xml version="1.0" encoding="utf-8"?>
<ds:datastoreItem xmlns:ds="http://schemas.openxmlformats.org/officeDocument/2006/customXml" ds:itemID="{D7ED9EF2-C8FF-4656-88FF-3D565902E9F6}"/>
</file>

<file path=customXml/itemProps2.xml><?xml version="1.0" encoding="utf-8"?>
<ds:datastoreItem xmlns:ds="http://schemas.openxmlformats.org/officeDocument/2006/customXml" ds:itemID="{7C759786-931D-4222-964F-65B7F47C2C57}"/>
</file>

<file path=customXml/itemProps3.xml><?xml version="1.0" encoding="utf-8"?>
<ds:datastoreItem xmlns:ds="http://schemas.openxmlformats.org/officeDocument/2006/customXml" ds:itemID="{B7EE8F05-C59E-4436-830B-02A9CDB6B7DC}"/>
</file>

<file path=customXml/itemProps4.xml><?xml version="1.0" encoding="utf-8"?>
<ds:datastoreItem xmlns:ds="http://schemas.openxmlformats.org/officeDocument/2006/customXml" ds:itemID="{AA286FBE-8213-44AE-9E5B-09B3A3D217C8}"/>
</file>

<file path=customXml/itemProps5.xml><?xml version="1.0" encoding="utf-8"?>
<ds:datastoreItem xmlns:ds="http://schemas.openxmlformats.org/officeDocument/2006/customXml" ds:itemID="{1F5D8CBB-03B7-40DD-A7D3-3D9524AC8181}"/>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3237</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Administrator</cp:lastModifiedBy>
  <cp:revision>4</cp:revision>
  <dcterms:created xsi:type="dcterms:W3CDTF">2013-05-29T19:59:00Z</dcterms:created>
  <dcterms:modified xsi:type="dcterms:W3CDTF">2013-06-10T01:01:00Z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8e831b58-fd5d-4ecd-924e-0af4992912df</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54900</vt:r8>
  </property>
  <property fmtid="{D5CDD505-2E9C-101B-9397-08002B2CF9AE}" pid="8" name="URL">
    <vt:lpwstr/>
  </property>
  <property fmtid="{D5CDD505-2E9C-101B-9397-08002B2CF9AE}" pid="9" name="xd_Signature">
    <vt:bool>false</vt:bool>
  </property>
  <property fmtid="{D5CDD505-2E9C-101B-9397-08002B2CF9AE}" pid="10" name="CDFI Description">
    <vt:lpwstr/>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